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distribute"/>
        <w:rPr>
          <w:rFonts w:ascii="宋体" w:hAnsi="宋体"/>
          <w:b/>
          <w:color w:val="FF0000"/>
          <w:sz w:val="84"/>
          <w:szCs w:val="84"/>
        </w:rPr>
      </w:pPr>
      <w:r>
        <w:rPr>
          <w:rFonts w:hint="eastAsia" w:ascii="宋体" w:hAnsi="宋体"/>
          <w:b/>
          <w:color w:val="FF0000"/>
          <w:sz w:val="84"/>
          <w:szCs w:val="84"/>
        </w:rPr>
        <w:t>2022国际涂料原料</w:t>
      </w:r>
    </w:p>
    <w:p>
      <w:pPr>
        <w:jc w:val="distribute"/>
        <w:rPr>
          <w:rFonts w:ascii="宋体" w:hAnsi="宋体"/>
          <w:b/>
          <w:color w:val="FF0000"/>
          <w:sz w:val="84"/>
          <w:szCs w:val="84"/>
        </w:rPr>
      </w:pPr>
      <w:r>
        <w:rPr>
          <w:rFonts w:hint="eastAsia" w:ascii="宋体" w:hAnsi="宋体"/>
          <w:b/>
          <w:color w:val="FF0000"/>
          <w:sz w:val="84"/>
          <w:szCs w:val="84"/>
        </w:rPr>
        <w:t>选料大会    组委会</w:t>
      </w:r>
    </w:p>
    <w:p>
      <w:pPr>
        <w:jc w:val="distribute"/>
        <w:rPr>
          <w:rFonts w:ascii="宋体" w:hAnsi="宋体"/>
          <w:b/>
          <w:color w:val="FF0000"/>
          <w:szCs w:val="21"/>
        </w:rPr>
      </w:pPr>
      <w:r>
        <w:rPr>
          <w:rFonts w:ascii="宋体" w:hAnsi="宋体"/>
          <w:sz w:val="72"/>
          <w:szCs w:val="72"/>
        </w:rPr>
        <mc:AlternateContent>
          <mc:Choice Requires="wps">
            <w:drawing>
              <wp:anchor distT="0" distB="0" distL="114300" distR="114300" simplePos="0" relativeHeight="251659264" behindDoc="1" locked="0" layoutInCell="1" allowOverlap="1">
                <wp:simplePos x="0" y="0"/>
                <wp:positionH relativeFrom="column">
                  <wp:posOffset>12065</wp:posOffset>
                </wp:positionH>
                <wp:positionV relativeFrom="paragraph">
                  <wp:posOffset>137160</wp:posOffset>
                </wp:positionV>
                <wp:extent cx="5292090" cy="635"/>
                <wp:effectExtent l="0" t="12700" r="3810" b="24765"/>
                <wp:wrapNone/>
                <wp:docPr id="1" name="Line 2"/>
                <wp:cNvGraphicFramePr/>
                <a:graphic xmlns:a="http://schemas.openxmlformats.org/drawingml/2006/main">
                  <a:graphicData uri="http://schemas.microsoft.com/office/word/2010/wordprocessingShape">
                    <wps:wsp>
                      <wps:cNvCnPr/>
                      <wps:spPr>
                        <a:xfrm>
                          <a:off x="0" y="0"/>
                          <a:ext cx="5292090"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Line 2" o:spid="_x0000_s1026" o:spt="32" type="#_x0000_t32" style="position:absolute;left:0pt;margin-left:0.95pt;margin-top:10.8pt;height:0.05pt;width:416.7pt;z-index:-251657216;mso-width-relative:page;mso-height-relative:page;" filled="f" stroked="t" coordsize="21600,21600" o:gfxdata="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uWFj1QAAAAcBAAAPAAAA&#10;AAAAAAEAIAAAACIAAABkcnMvZG93bnJldi54bWxQSwECFAAUAAAACACHTuJAbmz+bt8BAADeAwAA&#10;DgAAAAAAAAABACAAAAAkAQAAZHJzL2Uyb0RvYy54bWxQSwUGAAAAAAYABgBZAQAAdQUAAAAA&#10;">
                <v:fill on="f" focussize="0,0"/>
                <v:stroke weight="2pt" color="#FF0000" joinstyle="round"/>
                <v:imagedata o:title=""/>
                <o:lock v:ext="edit" aspectratio="f"/>
              </v:shape>
            </w:pict>
          </mc:Fallback>
        </mc:AlternateContent>
      </w:r>
      <w:r>
        <w:rPr>
          <w:rFonts w:hint="eastAsia" w:ascii="宋体" w:hAnsi="宋体"/>
          <w:b/>
          <w:color w:val="FF0000"/>
          <w:szCs w:val="21"/>
        </w:rPr>
        <w:t xml:space="preserve"> </w:t>
      </w:r>
      <w:r>
        <w:rPr>
          <w:rFonts w:ascii="宋体" w:hAnsi="宋体"/>
          <w:b/>
          <w:color w:val="FF0000"/>
          <w:szCs w:val="21"/>
        </w:rPr>
        <w:t xml:space="preserve">                                    </w:t>
      </w:r>
    </w:p>
    <w:p>
      <w:pPr>
        <w:spacing w:before="312" w:beforeLines="100" w:after="312" w:afterLines="100" w:line="360" w:lineRule="auto"/>
        <w:jc w:val="center"/>
        <w:rPr>
          <w:rFonts w:ascii="仿宋" w:hAnsi="仿宋" w:eastAsia="仿宋" w:cs="仿宋"/>
          <w:b/>
          <w:bCs/>
          <w:sz w:val="24"/>
          <w:szCs w:val="24"/>
        </w:rPr>
      </w:pPr>
      <w:r>
        <w:rPr>
          <w:rFonts w:hint="eastAsia" w:ascii="微软雅黑" w:hAnsi="微软雅黑" w:eastAsia="微软雅黑" w:cs="微软雅黑"/>
          <w:b/>
          <w:bCs/>
          <w:sz w:val="52"/>
          <w:szCs w:val="52"/>
        </w:rPr>
        <w:t>邀 请 函</w:t>
      </w:r>
    </w:p>
    <w:p>
      <w:pPr>
        <w:spacing w:line="48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一、大会背景</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2021年3月，《中国涂料行业“十四五”规划》发布，规划指出“十四五”期间，全行业经济总量保持稳步增长，总产值年均增长4％左右。到2025年，涂料行业总产值预计增长到3700亿元左右；产量按年均4％增长计算，到2025年，涂料行业总产量预计增长到3000万吨左右。到2025年，环境友好的涂料品种占涂料总产量的70％。</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涂料行业多年来都保持着较稳定的增长态势，然而近几年，因全球新冠疫情导致涂料供应链受损，原材料价格上涨、需求端紧缩、产能过剩、利润下滑等一系列问题,涂料行业面临重大挑战。但新的机遇也同样存在，</w:t>
      </w:r>
      <w:r>
        <w:rPr>
          <w:rFonts w:hint="eastAsia" w:ascii="仿宋" w:hAnsi="仿宋" w:eastAsia="仿宋" w:cs="仿宋"/>
          <w:sz w:val="24"/>
          <w:szCs w:val="24"/>
          <w:lang w:eastAsia="zh-CN"/>
        </w:rPr>
        <w:t>通过</w:t>
      </w:r>
      <w:r>
        <w:rPr>
          <w:rFonts w:hint="eastAsia" w:ascii="仿宋" w:hAnsi="仿宋" w:eastAsia="仿宋" w:cs="仿宋"/>
          <w:sz w:val="24"/>
          <w:szCs w:val="24"/>
        </w:rPr>
        <w:t>“双碳”目标引领产业升级、“两新一重”战略推动旧改及新基建</w:t>
      </w:r>
      <w:r>
        <w:rPr>
          <w:rFonts w:hint="eastAsia" w:ascii="仿宋" w:hAnsi="仿宋" w:eastAsia="仿宋" w:cs="仿宋"/>
          <w:sz w:val="24"/>
          <w:szCs w:val="24"/>
          <w:lang w:eastAsia="zh-CN"/>
        </w:rPr>
        <w:t>来稳定增长。可以预见，与地产、建材、工业生产等息息相关的涂料行业，将在稳经济增长的一揽子措施中出现一波红利</w:t>
      </w:r>
      <w:r>
        <w:rPr>
          <w:rFonts w:hint="eastAsia" w:ascii="仿宋" w:hAnsi="仿宋" w:eastAsia="仿宋" w:cs="仿宋"/>
          <w:sz w:val="24"/>
          <w:szCs w:val="24"/>
        </w:rPr>
        <w:t>。</w:t>
      </w:r>
      <w:r>
        <w:rPr>
          <w:rFonts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如何快速适应新局势、开拓新的推广渠道、实现稳中求进，是每个企业都</w:t>
      </w:r>
      <w:r>
        <w:rPr>
          <w:rFonts w:hint="eastAsia" w:ascii="仿宋" w:hAnsi="仿宋" w:eastAsia="仿宋" w:cs="仿宋"/>
          <w:sz w:val="24"/>
          <w:szCs w:val="24"/>
          <w:lang w:eastAsia="zh-CN"/>
        </w:rPr>
        <w:t>面临的难题</w:t>
      </w:r>
      <w:r>
        <w:rPr>
          <w:rFonts w:hint="eastAsia" w:ascii="仿宋" w:hAnsi="仿宋" w:eastAsia="仿宋" w:cs="仿宋"/>
          <w:sz w:val="24"/>
          <w:szCs w:val="24"/>
        </w:rPr>
        <w:t>。鉴于此，由中涂联合国际会展（广州）有限公司、广东智展展览有限公司联合广东省涂料行业协会、PCI杂志、水性平台等多家行业资源共同发起举办“2022国际涂料原料选料大会”（以下简称大会）。大会旨在整合涂料行业众多优势力量，为涂料原材料中小企业服务，搭建高效展示企业形象的专业“秀场”，以有效提升企业品牌价值。</w:t>
      </w:r>
      <w:r>
        <w:rPr>
          <w:rFonts w:ascii="仿宋" w:hAnsi="仿宋" w:eastAsia="仿宋" w:cs="仿宋"/>
          <w:sz w:val="24"/>
          <w:szCs w:val="24"/>
        </w:rPr>
        <w:t>大会将邀请300家国内外先进涂料厂商代表及资深涂料从业者作为大会采购评审，对最终入围的企业进行评选并颁发由评审席联合认定的大会获奖证书，并于会后进行业务对接。大会由行业媒体全程直播，双线互动，是原材料和设备商不可错过的机会！</w:t>
      </w:r>
    </w:p>
    <w:p>
      <w:pPr>
        <w:spacing w:line="480" w:lineRule="exact"/>
        <w:rPr>
          <w:color w:val="595959"/>
          <w:spacing w:val="15"/>
        </w:rPr>
      </w:pPr>
    </w:p>
    <w:p>
      <w:pPr>
        <w:spacing w:line="48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二、大会概况</w:t>
      </w:r>
    </w:p>
    <w:p>
      <w:pPr>
        <w:spacing w:line="480" w:lineRule="exact"/>
        <w:rPr>
          <w:rFonts w:ascii="仿宋" w:hAnsi="仿宋" w:eastAsia="仿宋" w:cs="仿宋"/>
          <w:sz w:val="24"/>
          <w:szCs w:val="24"/>
        </w:rPr>
      </w:pPr>
      <w:r>
        <w:rPr>
          <w:rFonts w:hint="eastAsia" w:ascii="仿宋" w:hAnsi="仿宋" w:eastAsia="仿宋" w:cs="仿宋"/>
          <w:b/>
          <w:bCs/>
          <w:sz w:val="24"/>
          <w:szCs w:val="24"/>
        </w:rPr>
        <w:t>（一）大会主题：</w:t>
      </w:r>
      <w:r>
        <w:rPr>
          <w:rFonts w:hint="eastAsia" w:ascii="仿宋" w:hAnsi="仿宋" w:eastAsia="仿宋" w:cs="仿宋"/>
          <w:sz w:val="24"/>
          <w:szCs w:val="24"/>
        </w:rPr>
        <w:t>2022广州国际涂料原料选料大会</w:t>
      </w:r>
    </w:p>
    <w:p>
      <w:pPr>
        <w:spacing w:line="480" w:lineRule="exact"/>
        <w:rPr>
          <w:rFonts w:ascii="仿宋" w:hAnsi="仿宋" w:eastAsia="仿宋" w:cs="仿宋"/>
          <w:sz w:val="24"/>
          <w:szCs w:val="24"/>
        </w:rPr>
      </w:pPr>
      <w:r>
        <w:rPr>
          <w:rFonts w:hint="eastAsia" w:ascii="仿宋" w:hAnsi="仿宋" w:eastAsia="仿宋" w:cs="仿宋"/>
          <w:b/>
          <w:bCs/>
          <w:sz w:val="24"/>
          <w:szCs w:val="24"/>
        </w:rPr>
        <w:t>（二）大会口号：</w:t>
      </w:r>
      <w:r>
        <w:rPr>
          <w:rFonts w:hint="eastAsia" w:ascii="仿宋" w:hAnsi="仿宋" w:eastAsia="仿宋" w:cs="仿宋"/>
          <w:sz w:val="24"/>
          <w:szCs w:val="24"/>
        </w:rPr>
        <w:t>服务中小企业，打造国内涂料原料及设备行业“专业秀场”</w:t>
      </w:r>
    </w:p>
    <w:p>
      <w:pPr>
        <w:spacing w:line="480" w:lineRule="exact"/>
        <w:rPr>
          <w:rFonts w:ascii="仿宋" w:hAnsi="仿宋" w:eastAsia="仿宋" w:cs="仿宋"/>
          <w:sz w:val="24"/>
          <w:szCs w:val="24"/>
        </w:rPr>
      </w:pPr>
      <w:r>
        <w:rPr>
          <w:rFonts w:hint="eastAsia" w:ascii="仿宋" w:hAnsi="仿宋" w:eastAsia="仿宋" w:cs="仿宋"/>
          <w:b/>
          <w:bCs/>
          <w:sz w:val="24"/>
          <w:szCs w:val="24"/>
        </w:rPr>
        <w:t>（三）时间地点：</w:t>
      </w:r>
      <w:r>
        <w:rPr>
          <w:rFonts w:hint="eastAsia" w:ascii="仿宋" w:hAnsi="仿宋" w:eastAsia="仿宋" w:cs="仿宋"/>
          <w:sz w:val="24"/>
          <w:szCs w:val="24"/>
        </w:rPr>
        <w:t>2022年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ascii="仿宋" w:hAnsi="仿宋" w:eastAsia="仿宋" w:cs="仿宋"/>
          <w:sz w:val="24"/>
          <w:szCs w:val="24"/>
        </w:rPr>
        <w:t>2</w:t>
      </w:r>
      <w:r>
        <w:rPr>
          <w:rFonts w:hint="eastAsia" w:ascii="仿宋" w:hAnsi="仿宋" w:eastAsia="仿宋" w:cs="仿宋"/>
          <w:sz w:val="24"/>
          <w:szCs w:val="24"/>
        </w:rPr>
        <w:t>日，广州保利世贸博览馆</w:t>
      </w:r>
    </w:p>
    <w:p>
      <w:pPr>
        <w:spacing w:line="480" w:lineRule="exact"/>
        <w:rPr>
          <w:rFonts w:ascii="仿宋" w:hAnsi="仿宋" w:eastAsia="仿宋" w:cs="仿宋"/>
          <w:sz w:val="24"/>
          <w:szCs w:val="24"/>
        </w:rPr>
      </w:pPr>
      <w:r>
        <w:rPr>
          <w:rFonts w:hint="eastAsia" w:ascii="仿宋" w:hAnsi="仿宋" w:eastAsia="仿宋" w:cs="仿宋"/>
          <w:b/>
          <w:bCs/>
          <w:sz w:val="24"/>
          <w:szCs w:val="24"/>
        </w:rPr>
        <w:t>（四）发起单位：</w:t>
      </w:r>
      <w:r>
        <w:rPr>
          <w:rFonts w:hint="eastAsia" w:ascii="仿宋" w:hAnsi="仿宋" w:eastAsia="仿宋" w:cs="仿宋"/>
          <w:sz w:val="24"/>
          <w:szCs w:val="24"/>
        </w:rPr>
        <w:t>广东省涂料行业协会、湖南省涂料工业协会、湖北省涂料工业协会、河南省涂料行业协会、陕西省涂料行业协会、国家涂料产品质量监督检验中心、中国水性涂料产业战略联盟、中国石油和化学工业联合会中小企业委员会、中国建筑装饰装修材料协会建筑涂料分会、中国建筑材料流通协会涂料委员会、中涂联合国际会展（广州）有限公司、广东智展展览有限公司、《Pain &amp; Coatings Industry》中文版、慧聪涂料网、中外涂料网、《涂饰商情》、《涂料原料与设备》、《涂料商情》、《涂料市场》、涂赢天下、涂料经、中国涂料采购网、中国水漆网、中国涂料在线、广州化工交易中心、找料网、涂界、全球涂料网、趣涂料、中国水性涂料网、南北潮、知涂资讯、水性大平台、涂料联盟网、油友网、中国水性涂料网等全国30多家行业组织及媒体。</w:t>
      </w:r>
    </w:p>
    <w:p>
      <w:pPr>
        <w:numPr>
          <w:ilvl w:val="0"/>
          <w:numId w:val="1"/>
        </w:numPr>
        <w:spacing w:line="48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同期展览及会议活动：</w:t>
      </w:r>
    </w:p>
    <w:p>
      <w:pPr>
        <w:spacing w:line="480" w:lineRule="exact"/>
        <w:rPr>
          <w:rFonts w:ascii="仿宋" w:hAnsi="仿宋" w:eastAsia="仿宋" w:cs="仿宋"/>
          <w:sz w:val="24"/>
          <w:szCs w:val="24"/>
        </w:rPr>
      </w:pPr>
      <w:r>
        <w:rPr>
          <w:rFonts w:hint="eastAsia" w:ascii="仿宋" w:hAnsi="仿宋" w:eastAsia="仿宋" w:cs="仿宋"/>
          <w:sz w:val="24"/>
          <w:szCs w:val="24"/>
        </w:rPr>
        <w:t>（一）2022国际（广州）涂料工业展览会</w:t>
      </w:r>
    </w:p>
    <w:p>
      <w:pPr>
        <w:numPr>
          <w:ilvl w:val="0"/>
          <w:numId w:val="2"/>
        </w:numPr>
        <w:spacing w:line="480" w:lineRule="exact"/>
        <w:rPr>
          <w:rFonts w:ascii="仿宋" w:hAnsi="仿宋" w:eastAsia="仿宋" w:cs="仿宋"/>
          <w:sz w:val="24"/>
          <w:szCs w:val="24"/>
        </w:rPr>
      </w:pPr>
      <w:r>
        <w:rPr>
          <w:rFonts w:hint="eastAsia" w:ascii="仿宋" w:hAnsi="仿宋" w:eastAsia="仿宋" w:cs="仿宋"/>
          <w:sz w:val="24"/>
          <w:szCs w:val="24"/>
        </w:rPr>
        <w:t>2022广州国际油墨及胶黏剂、密封剂展</w:t>
      </w:r>
    </w:p>
    <w:p>
      <w:pPr>
        <w:numPr>
          <w:ilvl w:val="0"/>
          <w:numId w:val="2"/>
        </w:numPr>
        <w:spacing w:line="480" w:lineRule="exact"/>
        <w:rPr>
          <w:rFonts w:ascii="仿宋" w:hAnsi="仿宋" w:eastAsia="仿宋" w:cs="仿宋"/>
          <w:sz w:val="24"/>
          <w:szCs w:val="24"/>
        </w:rPr>
      </w:pPr>
      <w:r>
        <w:rPr>
          <w:rFonts w:hint="eastAsia" w:ascii="仿宋" w:hAnsi="仿宋" w:eastAsia="仿宋" w:cs="仿宋"/>
          <w:sz w:val="24"/>
          <w:szCs w:val="24"/>
        </w:rPr>
        <w:t>2022国际工业涂料、粉末涂料与涂装展览会</w:t>
      </w:r>
    </w:p>
    <w:p>
      <w:pPr>
        <w:numPr>
          <w:ilvl w:val="0"/>
          <w:numId w:val="2"/>
        </w:numPr>
        <w:spacing w:line="480" w:lineRule="exact"/>
        <w:rPr>
          <w:rFonts w:ascii="仿宋" w:hAnsi="仿宋" w:eastAsia="仿宋" w:cs="仿宋"/>
          <w:sz w:val="24"/>
          <w:szCs w:val="24"/>
        </w:rPr>
      </w:pPr>
      <w:r>
        <w:rPr>
          <w:rFonts w:hint="eastAsia" w:ascii="仿宋" w:hAnsi="仿宋" w:eastAsia="仿宋" w:cs="仿宋"/>
          <w:sz w:val="24"/>
          <w:szCs w:val="24"/>
        </w:rPr>
        <w:t>第十五届国际（广州）表面处理、电镀、涂装展览会</w:t>
      </w:r>
    </w:p>
    <w:p>
      <w:pPr>
        <w:numPr>
          <w:ilvl w:val="0"/>
          <w:numId w:val="2"/>
        </w:numPr>
        <w:spacing w:line="480" w:lineRule="exact"/>
        <w:rPr>
          <w:rFonts w:ascii="仿宋" w:hAnsi="仿宋" w:eastAsia="仿宋" w:cs="仿宋"/>
          <w:sz w:val="24"/>
          <w:szCs w:val="24"/>
        </w:rPr>
      </w:pPr>
      <w:r>
        <w:rPr>
          <w:rFonts w:hint="eastAsia" w:ascii="仿宋" w:hAnsi="仿宋" w:eastAsia="仿宋" w:cs="仿宋"/>
          <w:sz w:val="24"/>
          <w:szCs w:val="24"/>
        </w:rPr>
        <w:t>2022粉末涂料与涂装高峰论坛</w:t>
      </w:r>
    </w:p>
    <w:p>
      <w:pPr>
        <w:spacing w:line="480" w:lineRule="exact"/>
        <w:rPr>
          <w:rFonts w:ascii="仿宋" w:hAnsi="仿宋" w:eastAsia="仿宋" w:cs="仿宋"/>
          <w:sz w:val="24"/>
          <w:szCs w:val="24"/>
        </w:rPr>
      </w:pPr>
      <w:r>
        <w:rPr>
          <w:rFonts w:hint="eastAsia" w:ascii="仿宋" w:hAnsi="仿宋" w:eastAsia="仿宋" w:cs="仿宋"/>
          <w:sz w:val="24"/>
          <w:szCs w:val="24"/>
        </w:rPr>
        <w:t>（六）2022中国（广州）汽车表面工程暨防腐蚀技术研讨会</w:t>
      </w:r>
    </w:p>
    <w:p>
      <w:pPr>
        <w:spacing w:line="480" w:lineRule="exact"/>
        <w:rPr>
          <w:rFonts w:ascii="仿宋" w:hAnsi="仿宋" w:eastAsia="仿宋" w:cs="仿宋"/>
          <w:sz w:val="24"/>
          <w:szCs w:val="24"/>
        </w:rPr>
      </w:pPr>
      <w:r>
        <w:rPr>
          <w:rFonts w:hint="eastAsia" w:ascii="仿宋" w:hAnsi="仿宋" w:eastAsia="仿宋" w:cs="仿宋"/>
          <w:sz w:val="24"/>
          <w:szCs w:val="24"/>
        </w:rPr>
        <w:t>（七）小规模涂料研发生产工程师沙龙活动</w:t>
      </w:r>
    </w:p>
    <w:p>
      <w:pPr>
        <w:spacing w:line="48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四、大会流程</w:t>
      </w:r>
    </w:p>
    <w:p>
      <w:pPr>
        <w:spacing w:line="480" w:lineRule="exact"/>
        <w:rPr>
          <w:rFonts w:ascii="仿宋" w:hAnsi="仿宋" w:eastAsia="仿宋" w:cs="仿宋"/>
          <w:b/>
          <w:bCs/>
          <w:sz w:val="24"/>
          <w:szCs w:val="24"/>
        </w:rPr>
      </w:pPr>
      <w:r>
        <w:rPr>
          <w:rFonts w:hint="eastAsia" w:ascii="仿宋" w:hAnsi="仿宋" w:eastAsia="仿宋" w:cs="仿宋"/>
          <w:b/>
          <w:bCs/>
          <w:sz w:val="24"/>
          <w:szCs w:val="24"/>
        </w:rPr>
        <w:t>（一）报名</w:t>
      </w:r>
    </w:p>
    <w:p>
      <w:pPr>
        <w:spacing w:line="480" w:lineRule="exact"/>
        <w:ind w:firstLine="240" w:firstLineChars="100"/>
        <w:rPr>
          <w:rFonts w:ascii="仿宋" w:hAnsi="仿宋" w:eastAsia="仿宋" w:cs="仿宋"/>
          <w:sz w:val="24"/>
          <w:szCs w:val="24"/>
        </w:rPr>
      </w:pPr>
      <w:r>
        <w:rPr>
          <w:rFonts w:hint="eastAsia" w:ascii="仿宋" w:hAnsi="仿宋" w:eastAsia="仿宋" w:cs="仿宋"/>
          <w:sz w:val="24"/>
          <w:szCs w:val="24"/>
        </w:rPr>
        <w:t>报名对象：国内外从事涂料原料及设备生产、销售的企业</w:t>
      </w:r>
    </w:p>
    <w:p>
      <w:pPr>
        <w:spacing w:line="480" w:lineRule="exact"/>
        <w:rPr>
          <w:rFonts w:ascii="仿宋" w:hAnsi="仿宋" w:eastAsia="仿宋" w:cs="仿宋"/>
          <w:b/>
          <w:bCs/>
          <w:sz w:val="24"/>
          <w:szCs w:val="24"/>
        </w:rPr>
      </w:pPr>
      <w:r>
        <w:rPr>
          <w:rFonts w:hint="eastAsia" w:ascii="仿宋" w:hAnsi="仿宋" w:eastAsia="仿宋" w:cs="仿宋"/>
          <w:b/>
          <w:bCs/>
          <w:sz w:val="24"/>
          <w:szCs w:val="24"/>
        </w:rPr>
        <w:t>（二）海选</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由大会组委会组建的评选小组，海选出100家企业，进入复选环节</w:t>
      </w:r>
    </w:p>
    <w:p>
      <w:pPr>
        <w:spacing w:line="480" w:lineRule="exact"/>
        <w:rPr>
          <w:rFonts w:ascii="仿宋" w:hAnsi="仿宋" w:eastAsia="仿宋" w:cs="仿宋"/>
          <w:b/>
          <w:bCs/>
          <w:sz w:val="24"/>
          <w:szCs w:val="24"/>
        </w:rPr>
      </w:pPr>
      <w:r>
        <w:rPr>
          <w:rFonts w:hint="eastAsia" w:ascii="仿宋" w:hAnsi="仿宋" w:eastAsia="仿宋" w:cs="仿宋"/>
          <w:b/>
          <w:bCs/>
          <w:sz w:val="24"/>
          <w:szCs w:val="24"/>
        </w:rPr>
        <w:t>（三）复选</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进一步综合对比及用户体验调查，最终选出20家优秀企业，入围选料大会。复选结果将在展会官网及微信公众号上公布，并以短信或邮件方式通知到位。</w:t>
      </w:r>
    </w:p>
    <w:p>
      <w:pPr>
        <w:numPr>
          <w:ilvl w:val="255"/>
          <w:numId w:val="0"/>
        </w:numPr>
        <w:spacing w:line="480" w:lineRule="exact"/>
        <w:rPr>
          <w:rFonts w:ascii="仿宋" w:hAnsi="仿宋" w:eastAsia="仿宋" w:cs="仿宋"/>
          <w:b/>
          <w:bCs/>
          <w:sz w:val="24"/>
          <w:szCs w:val="24"/>
        </w:rPr>
      </w:pPr>
      <w:r>
        <w:rPr>
          <w:rFonts w:hint="eastAsia" w:ascii="仿宋" w:hAnsi="仿宋" w:eastAsia="仿宋" w:cs="仿宋"/>
          <w:b/>
          <w:bCs/>
          <w:sz w:val="24"/>
          <w:szCs w:val="24"/>
        </w:rPr>
        <w:t>（四）选料大会现场</w:t>
      </w:r>
    </w:p>
    <w:p>
      <w:pPr>
        <w:spacing w:line="480" w:lineRule="exact"/>
        <w:ind w:firstLine="480" w:firstLineChars="200"/>
        <w:rPr>
          <w:rFonts w:ascii="仿宋" w:hAnsi="仿宋" w:eastAsia="仿宋" w:cs="仿宋"/>
          <w:sz w:val="24"/>
          <w:szCs w:val="24"/>
        </w:rPr>
      </w:pPr>
      <w:bookmarkStart w:id="0" w:name="_Hlk98232043"/>
      <w:r>
        <w:rPr>
          <w:rFonts w:hint="eastAsia" w:ascii="仿宋" w:hAnsi="仿宋" w:eastAsia="仿宋" w:cs="仿宋"/>
          <w:sz w:val="24"/>
          <w:szCs w:val="24"/>
        </w:rPr>
        <w:t>登场仪式</w:t>
      </w:r>
      <w:r>
        <w:rPr>
          <w:rFonts w:hint="eastAsia" w:ascii="仿宋" w:hAnsi="仿宋" w:eastAsia="仿宋" w:cs="仿宋"/>
          <w:b/>
          <w:bCs/>
          <w:sz w:val="24"/>
          <w:szCs w:val="24"/>
        </w:rPr>
        <w:t>+</w:t>
      </w:r>
      <w:r>
        <w:rPr>
          <w:rFonts w:hint="eastAsia" w:ascii="仿宋" w:hAnsi="仿宋" w:eastAsia="仿宋" w:cs="仿宋"/>
          <w:sz w:val="24"/>
          <w:szCs w:val="24"/>
        </w:rPr>
        <w:t>企业路演</w:t>
      </w:r>
      <w:r>
        <w:rPr>
          <w:rFonts w:hint="eastAsia" w:ascii="仿宋" w:hAnsi="仿宋" w:eastAsia="仿宋" w:cs="仿宋"/>
          <w:b/>
          <w:bCs/>
          <w:sz w:val="24"/>
          <w:szCs w:val="24"/>
        </w:rPr>
        <w:t>+</w:t>
      </w:r>
      <w:r>
        <w:rPr>
          <w:rFonts w:hint="eastAsia" w:ascii="仿宋" w:hAnsi="仿宋" w:eastAsia="仿宋" w:cs="仿宋"/>
          <w:sz w:val="24"/>
          <w:szCs w:val="24"/>
        </w:rPr>
        <w:t>评审团点评</w:t>
      </w:r>
      <w:r>
        <w:rPr>
          <w:rFonts w:hint="eastAsia" w:ascii="仿宋" w:hAnsi="仿宋" w:eastAsia="仿宋" w:cs="仿宋"/>
          <w:b/>
          <w:bCs/>
          <w:sz w:val="24"/>
          <w:szCs w:val="24"/>
        </w:rPr>
        <w:t>+</w:t>
      </w:r>
      <w:r>
        <w:rPr>
          <w:rFonts w:hint="eastAsia" w:ascii="仿宋" w:hAnsi="仿宋" w:eastAsia="仿宋" w:cs="仿宋"/>
          <w:sz w:val="24"/>
          <w:szCs w:val="24"/>
        </w:rPr>
        <w:t>现场授牌</w:t>
      </w:r>
      <w:bookmarkEnd w:id="0"/>
    </w:p>
    <w:p>
      <w:pPr>
        <w:spacing w:line="480" w:lineRule="exact"/>
        <w:rPr>
          <w:rFonts w:ascii="仿宋" w:hAnsi="仿宋" w:eastAsia="仿宋" w:cs="仿宋"/>
          <w:b/>
          <w:bCs/>
          <w:sz w:val="24"/>
          <w:szCs w:val="24"/>
        </w:rPr>
      </w:pPr>
      <w:r>
        <w:rPr>
          <w:rFonts w:hint="eastAsia" w:ascii="仿宋" w:hAnsi="仿宋" w:eastAsia="仿宋" w:cs="仿宋"/>
          <w:b/>
          <w:bCs/>
          <w:sz w:val="24"/>
          <w:szCs w:val="24"/>
        </w:rPr>
        <w:t>（五）授牌仪式</w:t>
      </w:r>
    </w:p>
    <w:p>
      <w:pPr>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集中授牌</w:t>
      </w:r>
      <w:r>
        <w:rPr>
          <w:rFonts w:hint="eastAsia" w:ascii="仿宋" w:hAnsi="仿宋" w:eastAsia="仿宋" w:cs="仿宋"/>
          <w:sz w:val="24"/>
          <w:szCs w:val="24"/>
          <w:lang w:eastAsia="zh-CN"/>
        </w:rPr>
        <w:t>、</w:t>
      </w:r>
      <w:r>
        <w:rPr>
          <w:rFonts w:hint="eastAsia" w:ascii="仿宋" w:hAnsi="仿宋" w:eastAsia="仿宋" w:cs="仿宋"/>
          <w:sz w:val="24"/>
          <w:szCs w:val="24"/>
        </w:rPr>
        <w:t>合影留念、媒体直播。大会设置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优质原材料供应商、技术创新先进企业、环保先锋模范单位”、快速成长品牌”四</w:t>
      </w:r>
      <w:r>
        <w:rPr>
          <w:rFonts w:hint="eastAsia" w:ascii="仿宋" w:hAnsi="仿宋" w:eastAsia="仿宋" w:cs="仿宋"/>
          <w:sz w:val="24"/>
          <w:szCs w:val="24"/>
        </w:rPr>
        <w:t>项大奖</w:t>
      </w:r>
      <w:r>
        <w:rPr>
          <w:rFonts w:hint="eastAsia" w:ascii="仿宋" w:hAnsi="仿宋" w:eastAsia="仿宋" w:cs="仿宋"/>
          <w:sz w:val="24"/>
          <w:szCs w:val="24"/>
          <w:lang w:eastAsia="zh-CN"/>
        </w:rPr>
        <w:t>，</w:t>
      </w:r>
      <w:r>
        <w:rPr>
          <w:rFonts w:hint="eastAsia" w:ascii="仿宋" w:hAnsi="仿宋" w:eastAsia="仿宋" w:cs="仿宋"/>
          <w:sz w:val="24"/>
          <w:szCs w:val="24"/>
        </w:rPr>
        <w:t>奖项由近300家涂料生产企业评选认定</w:t>
      </w:r>
      <w:r>
        <w:rPr>
          <w:rFonts w:hint="eastAsia" w:ascii="仿宋" w:hAnsi="仿宋" w:eastAsia="仿宋" w:cs="仿宋"/>
          <w:sz w:val="24"/>
          <w:szCs w:val="24"/>
          <w:lang w:eastAsia="zh-CN"/>
        </w:rPr>
        <w:t>，</w:t>
      </w:r>
    </w:p>
    <w:p>
      <w:pPr>
        <w:spacing w:line="480" w:lineRule="exac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（六）样品展示</w:t>
      </w:r>
    </w:p>
    <w:p>
      <w:pPr>
        <w:numPr>
          <w:numId w:val="0"/>
        </w:numPr>
        <w:spacing w:line="480" w:lineRule="exact"/>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在广州国际涂料工业展现场设置</w:t>
      </w:r>
      <w:r>
        <w:rPr>
          <w:rFonts w:hint="eastAsia" w:ascii="仿宋" w:hAnsi="仿宋" w:eastAsia="仿宋" w:cs="仿宋"/>
          <w:sz w:val="24"/>
          <w:szCs w:val="24"/>
          <w:lang w:val="en-US" w:eastAsia="zh-CN"/>
        </w:rPr>
        <w:t>“入围企业样品展示区”，进行为期三天的展览展示。</w:t>
      </w:r>
    </w:p>
    <w:p>
      <w:pPr>
        <w:spacing w:line="48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五、参会收益</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rPr>
        <w:t>1、现场对接300位品牌涂料厂采购负责人；</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rPr>
        <w:t>2、获得向全行业展示公司产品的机会，现场达成意向合作（签约）；</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rPr>
        <w:t>3、行业媒体全方位报道，提高公司在业内的知名度和美誉度；</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rPr>
        <w:t>4、吸引更多潜在涂料生产商达成合作。</w:t>
      </w:r>
    </w:p>
    <w:p>
      <w:pPr>
        <w:pStyle w:val="4"/>
        <w:widowControl/>
        <w:shd w:val="clear" w:color="auto" w:fill="FFFFFF"/>
        <w:spacing w:before="0" w:beforeAutospacing="0" w:after="0" w:afterAutospacing="0" w:line="480" w:lineRule="exact"/>
        <w:jc w:val="both"/>
        <w:textAlignment w:val="baseline"/>
        <w:rPr>
          <w:rFonts w:ascii="微软雅黑" w:hAnsi="微软雅黑" w:eastAsia="微软雅黑" w:cs="微软雅黑"/>
          <w:b/>
          <w:bCs/>
          <w:kern w:val="2"/>
          <w:szCs w:val="24"/>
        </w:rPr>
      </w:pPr>
      <w:r>
        <w:rPr>
          <w:rFonts w:hint="eastAsia" w:ascii="微软雅黑" w:hAnsi="微软雅黑" w:eastAsia="微软雅黑" w:cs="微软雅黑"/>
          <w:b/>
          <w:bCs/>
          <w:kern w:val="2"/>
          <w:szCs w:val="24"/>
        </w:rPr>
        <w:t>六、议程安排（拟）</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rPr>
        <w:t>1、评选嘉宾入场、播放赞助商或大会宣传片</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rPr>
        <w:t>2、主持人介绍大会内容</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rPr>
        <w:t>3、主办方致词</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lang w:val="en-US" w:eastAsia="zh-CN"/>
        </w:rPr>
        <w:t>4</w:t>
      </w:r>
      <w:r>
        <w:rPr>
          <w:rFonts w:hint="eastAsia" w:ascii="仿宋" w:hAnsi="仿宋" w:eastAsia="仿宋" w:cs="仿宋"/>
          <w:kern w:val="2"/>
          <w:szCs w:val="24"/>
        </w:rPr>
        <w:t>、入围企业路演、评奖</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lang w:val="en-US" w:eastAsia="zh-CN"/>
        </w:rPr>
        <w:t>5</w:t>
      </w:r>
      <w:r>
        <w:rPr>
          <w:rFonts w:hint="eastAsia" w:ascii="仿宋" w:hAnsi="仿宋" w:eastAsia="仿宋" w:cs="仿宋"/>
          <w:kern w:val="2"/>
          <w:szCs w:val="24"/>
        </w:rPr>
        <w:t>、总结发言</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lang w:val="en-US" w:eastAsia="zh-CN"/>
        </w:rPr>
        <w:t>6</w:t>
      </w:r>
      <w:r>
        <w:rPr>
          <w:rFonts w:hint="eastAsia" w:ascii="仿宋" w:hAnsi="仿宋" w:eastAsia="仿宋" w:cs="仿宋"/>
          <w:kern w:val="2"/>
          <w:szCs w:val="24"/>
        </w:rPr>
        <w:t>、颁奖典礼</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lang w:val="en-US" w:eastAsia="zh-CN"/>
        </w:rPr>
        <w:t>7</w:t>
      </w:r>
      <w:r>
        <w:rPr>
          <w:rFonts w:hint="eastAsia" w:ascii="仿宋" w:hAnsi="仿宋" w:eastAsia="仿宋" w:cs="仿宋"/>
          <w:kern w:val="2"/>
          <w:szCs w:val="24"/>
        </w:rPr>
        <w:t>、签约仪式</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lang w:val="en-US" w:eastAsia="zh-CN"/>
        </w:rPr>
        <w:t>8</w:t>
      </w:r>
      <w:r>
        <w:rPr>
          <w:rFonts w:hint="eastAsia" w:ascii="仿宋" w:hAnsi="仿宋" w:eastAsia="仿宋" w:cs="仿宋"/>
          <w:kern w:val="2"/>
          <w:szCs w:val="24"/>
        </w:rPr>
        <w:t>、自由交流</w:t>
      </w:r>
    </w:p>
    <w:p>
      <w:pPr>
        <w:spacing w:line="48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七、如何报名</w:t>
      </w:r>
    </w:p>
    <w:p>
      <w:pPr>
        <w:spacing w:line="480" w:lineRule="exact"/>
        <w:rPr>
          <w:rFonts w:ascii="仿宋" w:hAnsi="仿宋" w:eastAsia="仿宋" w:cs="仿宋"/>
          <w:sz w:val="24"/>
          <w:szCs w:val="24"/>
        </w:rPr>
      </w:pPr>
      <w:r>
        <w:rPr>
          <w:rFonts w:hint="eastAsia" w:ascii="仿宋" w:hAnsi="仿宋" w:eastAsia="仿宋" w:cs="仿宋"/>
          <w:sz w:val="24"/>
          <w:szCs w:val="24"/>
        </w:rPr>
        <w:t>1、免费报名。提供企业简介、产品介绍说明、企业营业执照、相关产品证书（如有）；</w:t>
      </w:r>
    </w:p>
    <w:p>
      <w:pPr>
        <w:snapToGrid w:val="0"/>
        <w:spacing w:line="480" w:lineRule="exact"/>
        <w:rPr>
          <w:rFonts w:ascii="仿宋" w:hAnsi="仿宋" w:eastAsia="仿宋" w:cs="仿宋"/>
          <w:sz w:val="24"/>
          <w:szCs w:val="24"/>
          <w:lang w:bidi="ar"/>
        </w:rPr>
      </w:pPr>
      <w:r>
        <w:rPr>
          <w:rFonts w:hint="eastAsia" w:ascii="仿宋" w:hAnsi="仿宋" w:eastAsia="仿宋" w:cs="仿宋"/>
          <w:sz w:val="24"/>
          <w:szCs w:val="24"/>
          <w:lang w:bidi="ar"/>
        </w:rPr>
        <w:t>2、入围选料大会的企业。如已参展“2022国际（广州）涂料工业展览会或202</w:t>
      </w:r>
      <w:r>
        <w:rPr>
          <w:rFonts w:ascii="仿宋" w:hAnsi="仿宋" w:eastAsia="仿宋" w:cs="仿宋"/>
          <w:sz w:val="24"/>
          <w:szCs w:val="24"/>
          <w:lang w:bidi="ar"/>
        </w:rPr>
        <w:t>2</w:t>
      </w:r>
      <w:r>
        <w:rPr>
          <w:rFonts w:hint="eastAsia" w:ascii="仿宋" w:hAnsi="仿宋" w:eastAsia="仿宋" w:cs="仿宋"/>
          <w:sz w:val="24"/>
          <w:szCs w:val="24"/>
          <w:lang w:bidi="ar"/>
        </w:rPr>
        <w:t>亚太国际工业涂料、粉末涂料与涂装展览会</w:t>
      </w:r>
      <w:r>
        <w:rPr>
          <w:rFonts w:ascii="仿宋" w:hAnsi="仿宋" w:eastAsia="仿宋" w:cs="仿宋"/>
          <w:sz w:val="24"/>
          <w:szCs w:val="24"/>
          <w:lang w:bidi="ar"/>
        </w:rPr>
        <w:t>”</w:t>
      </w:r>
      <w:r>
        <w:rPr>
          <w:rFonts w:hint="eastAsia" w:ascii="仿宋" w:hAnsi="仿宋" w:eastAsia="仿宋" w:cs="仿宋"/>
          <w:sz w:val="24"/>
          <w:szCs w:val="24"/>
          <w:lang w:bidi="ar"/>
        </w:rPr>
        <w:t>的企业，收取1500元/家的服务费；未参展的企业，收取3000元/家的服务费（此费用已包含会议资料、证件、茶歇、授牌等相关费用，但不含食宿、交通）；</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rPr>
        <w:t>3、报名方式：统一向大会秘书处索取选料大会《报名表》，按照要求填写并提交。联系人：</w:t>
      </w:r>
      <w:r>
        <w:rPr>
          <w:rFonts w:hint="eastAsia" w:ascii="仿宋" w:hAnsi="仿宋" w:eastAsia="仿宋" w:cs="仿宋"/>
          <w:kern w:val="2"/>
          <w:szCs w:val="24"/>
          <w:lang w:eastAsia="zh-CN"/>
        </w:rPr>
        <w:t>张经理</w:t>
      </w:r>
      <w:r>
        <w:rPr>
          <w:rFonts w:hint="eastAsia" w:ascii="仿宋" w:hAnsi="仿宋" w:eastAsia="仿宋" w:cs="仿宋"/>
          <w:kern w:val="2"/>
          <w:szCs w:val="24"/>
        </w:rPr>
        <w:t>，电话：020-29193588/3589、</w:t>
      </w:r>
      <w:r>
        <w:rPr>
          <w:rFonts w:hint="eastAsia" w:ascii="仿宋" w:hAnsi="仿宋" w:eastAsia="仿宋" w:cs="仿宋"/>
          <w:kern w:val="2"/>
          <w:szCs w:val="24"/>
          <w:lang w:val="en-US" w:eastAsia="zh-CN"/>
        </w:rPr>
        <w:t>13660597527</w:t>
      </w:r>
      <w:r>
        <w:rPr>
          <w:rFonts w:hint="eastAsia" w:ascii="仿宋" w:hAnsi="仿宋" w:eastAsia="仿宋" w:cs="仿宋"/>
          <w:kern w:val="2"/>
          <w:szCs w:val="24"/>
        </w:rPr>
        <w:t>，邮箱：</w:t>
      </w:r>
      <w:r>
        <w:rPr>
          <w:rFonts w:hint="eastAsia"/>
        </w:rPr>
        <w:fldChar w:fldCharType="begin"/>
      </w:r>
      <w:r>
        <w:instrText xml:space="preserve"> HYPERLINK "mailto:coatexpo03@126.com" </w:instrText>
      </w:r>
      <w:r>
        <w:rPr>
          <w:rFonts w:hint="eastAsia"/>
        </w:rPr>
        <w:fldChar w:fldCharType="separate"/>
      </w:r>
      <w:r>
        <w:rPr>
          <w:rFonts w:hint="eastAsia" w:ascii="仿宋" w:hAnsi="仿宋" w:eastAsia="仿宋" w:cs="仿宋"/>
          <w:kern w:val="2"/>
          <w:szCs w:val="24"/>
        </w:rPr>
        <w:t>coatexpo@126.com</w:t>
      </w:r>
      <w:r>
        <w:rPr>
          <w:rFonts w:hint="eastAsia" w:ascii="仿宋" w:hAnsi="仿宋" w:eastAsia="仿宋" w:cs="仿宋"/>
          <w:kern w:val="2"/>
          <w:szCs w:val="24"/>
        </w:rPr>
        <w:fldChar w:fldCharType="end"/>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p>
    <w:p>
      <w:pPr>
        <w:pStyle w:val="4"/>
        <w:widowControl/>
        <w:shd w:val="clear" w:color="auto" w:fill="FFFFFF"/>
        <w:spacing w:before="0" w:beforeAutospacing="0" w:after="0" w:afterAutospacing="0" w:line="480" w:lineRule="exact"/>
        <w:jc w:val="both"/>
        <w:textAlignment w:val="baseline"/>
        <w:rPr>
          <w:rFonts w:ascii="仿宋" w:hAnsi="仿宋" w:eastAsia="仿宋" w:cs="仿宋"/>
          <w:b/>
          <w:bCs/>
          <w:kern w:val="2"/>
          <w:szCs w:val="24"/>
        </w:rPr>
      </w:pPr>
      <w:r>
        <w:rPr>
          <w:rFonts w:hint="eastAsia" w:ascii="仿宋" w:hAnsi="仿宋" w:eastAsia="仿宋" w:cs="仿宋"/>
          <w:b/>
          <w:bCs/>
          <w:kern w:val="2"/>
          <w:szCs w:val="24"/>
        </w:rPr>
        <w:t>扫码快速报名</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r>
        <w:rPr>
          <w:rFonts w:hint="eastAsia" w:ascii="仿宋" w:hAnsi="仿宋" w:eastAsia="仿宋" w:cs="仿宋"/>
          <w:kern w:val="2"/>
          <w:szCs w:val="24"/>
        </w:rPr>
        <w:drawing>
          <wp:anchor distT="0" distB="0" distL="114300" distR="114300" simplePos="0" relativeHeight="251660288" behindDoc="0" locked="0" layoutInCell="1" allowOverlap="1">
            <wp:simplePos x="0" y="0"/>
            <wp:positionH relativeFrom="column">
              <wp:posOffset>1270</wp:posOffset>
            </wp:positionH>
            <wp:positionV relativeFrom="paragraph">
              <wp:posOffset>-1638300</wp:posOffset>
            </wp:positionV>
            <wp:extent cx="1885950" cy="188595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886213" cy="1886213"/>
                    </a:xfrm>
                    <a:prstGeom prst="rect">
                      <a:avLst/>
                    </a:prstGeom>
                  </pic:spPr>
                </pic:pic>
              </a:graphicData>
            </a:graphic>
          </wp:anchor>
        </w:drawing>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p>
    <w:p>
      <w:pPr>
        <w:pStyle w:val="4"/>
        <w:widowControl/>
        <w:shd w:val="clear" w:color="auto" w:fill="FFFFFF"/>
        <w:spacing w:before="0" w:beforeAutospacing="0" w:after="0" w:afterAutospacing="0" w:line="480" w:lineRule="exact"/>
        <w:jc w:val="both"/>
        <w:textAlignment w:val="baseline"/>
        <w:rPr>
          <w:rFonts w:ascii="仿宋" w:hAnsi="仿宋" w:eastAsia="仿宋" w:cs="仿宋"/>
          <w:b/>
          <w:bCs/>
          <w:kern w:val="2"/>
          <w:szCs w:val="24"/>
        </w:rPr>
      </w:pPr>
      <w:r>
        <w:rPr>
          <w:rFonts w:hint="eastAsia" w:ascii="仿宋" w:hAnsi="仿宋" w:eastAsia="仿宋" w:cs="仿宋"/>
          <w:b/>
          <w:bCs/>
          <w:kern w:val="2"/>
          <w:szCs w:val="24"/>
        </w:rPr>
        <w:t>八：附：《参会报名表》</w:t>
      </w:r>
    </w:p>
    <w:p>
      <w:pPr>
        <w:pStyle w:val="4"/>
        <w:widowControl/>
        <w:shd w:val="clear" w:color="auto" w:fill="FFFFFF"/>
        <w:spacing w:before="0" w:beforeAutospacing="0" w:after="0" w:afterAutospacing="0" w:line="480" w:lineRule="exact"/>
        <w:jc w:val="both"/>
        <w:textAlignment w:val="baseline"/>
        <w:rPr>
          <w:rFonts w:ascii="仿宋" w:hAnsi="仿宋" w:eastAsia="仿宋" w:cs="仿宋"/>
          <w:kern w:val="2"/>
          <w:szCs w:val="24"/>
        </w:rPr>
      </w:pPr>
    </w:p>
    <w:p>
      <w:pPr>
        <w:pStyle w:val="4"/>
        <w:widowControl/>
        <w:shd w:val="clear" w:color="auto" w:fill="FFFFFF"/>
        <w:spacing w:before="0" w:beforeAutospacing="0" w:after="0" w:afterAutospacing="0" w:line="480" w:lineRule="exact"/>
        <w:jc w:val="both"/>
        <w:textAlignment w:val="baseline"/>
        <w:rPr>
          <w:rFonts w:hint="eastAsia" w:ascii="仿宋" w:hAnsi="仿宋" w:eastAsia="仿宋" w:cs="仿宋"/>
          <w:kern w:val="2"/>
          <w:szCs w:val="24"/>
        </w:rPr>
      </w:pPr>
    </w:p>
    <w:p>
      <w:pPr>
        <w:pStyle w:val="4"/>
        <w:widowControl/>
        <w:shd w:val="clear" w:color="auto" w:fill="FFFFFF"/>
        <w:spacing w:before="0" w:beforeAutospacing="0" w:after="0" w:afterAutospacing="0" w:line="480" w:lineRule="exact"/>
        <w:jc w:val="right"/>
        <w:textAlignment w:val="baseline"/>
        <w:rPr>
          <w:rFonts w:hint="eastAsia" w:ascii="仿宋" w:hAnsi="仿宋" w:eastAsia="仿宋" w:cs="仿宋"/>
          <w:szCs w:val="24"/>
        </w:rPr>
      </w:pPr>
    </w:p>
    <w:p>
      <w:pPr>
        <w:pStyle w:val="4"/>
        <w:widowControl/>
        <w:shd w:val="clear" w:color="auto" w:fill="FFFFFF"/>
        <w:spacing w:before="0" w:beforeAutospacing="0" w:after="0" w:afterAutospacing="0" w:line="480" w:lineRule="exact"/>
        <w:jc w:val="right"/>
        <w:textAlignment w:val="baseline"/>
        <w:rPr>
          <w:rFonts w:hint="eastAsia" w:ascii="仿宋" w:hAnsi="仿宋" w:eastAsia="仿宋" w:cs="仿宋"/>
          <w:szCs w:val="24"/>
        </w:rPr>
      </w:pPr>
    </w:p>
    <w:p>
      <w:pPr>
        <w:pStyle w:val="4"/>
        <w:widowControl/>
        <w:shd w:val="clear" w:color="auto" w:fill="FFFFFF"/>
        <w:spacing w:before="0" w:beforeAutospacing="0" w:after="0" w:afterAutospacing="0" w:line="480" w:lineRule="exact"/>
        <w:jc w:val="right"/>
        <w:textAlignment w:val="baseline"/>
        <w:rPr>
          <w:rFonts w:ascii="仿宋" w:hAnsi="仿宋" w:eastAsia="仿宋" w:cs="仿宋"/>
          <w:szCs w:val="24"/>
        </w:rPr>
      </w:pPr>
      <w:bookmarkStart w:id="12" w:name="_GoBack"/>
      <w:bookmarkEnd w:id="12"/>
      <w:r>
        <w:rPr>
          <w:rFonts w:hint="eastAsia" w:ascii="仿宋" w:hAnsi="仿宋" w:eastAsia="仿宋" w:cs="仿宋"/>
          <w:szCs w:val="24"/>
        </w:rPr>
        <w:t>2022国际涂料原料选料大会 组委会</w:t>
      </w:r>
    </w:p>
    <w:p>
      <w:pPr>
        <w:pStyle w:val="4"/>
        <w:widowControl/>
        <w:shd w:val="clear" w:color="auto" w:fill="FFFFFF"/>
        <w:spacing w:before="0" w:beforeAutospacing="0" w:after="0" w:afterAutospacing="0" w:line="480" w:lineRule="exact"/>
        <w:jc w:val="right"/>
        <w:textAlignment w:val="baseline"/>
        <w:rPr>
          <w:rFonts w:hint="eastAsia" w:ascii="仿宋" w:hAnsi="仿宋" w:eastAsia="仿宋" w:cs="仿宋"/>
          <w:szCs w:val="24"/>
        </w:rPr>
      </w:pPr>
      <w:r>
        <w:rPr>
          <w:rFonts w:hint="eastAsia" w:ascii="仿宋" w:hAnsi="仿宋" w:eastAsia="仿宋" w:cs="仿宋"/>
          <w:szCs w:val="24"/>
        </w:rPr>
        <w:t>2022年</w:t>
      </w:r>
      <w:r>
        <w:rPr>
          <w:rFonts w:hint="eastAsia" w:ascii="仿宋" w:hAnsi="仿宋" w:eastAsia="仿宋" w:cs="仿宋"/>
          <w:szCs w:val="24"/>
          <w:lang w:val="en-US" w:eastAsia="zh-CN"/>
        </w:rPr>
        <w:t>5</w:t>
      </w:r>
      <w:r>
        <w:rPr>
          <w:rFonts w:hint="eastAsia" w:ascii="仿宋" w:hAnsi="仿宋" w:eastAsia="仿宋" w:cs="仿宋"/>
          <w:szCs w:val="24"/>
        </w:rPr>
        <w:t>月</w:t>
      </w:r>
      <w:r>
        <w:rPr>
          <w:rFonts w:hint="eastAsia" w:ascii="仿宋" w:hAnsi="仿宋" w:eastAsia="仿宋" w:cs="仿宋"/>
          <w:szCs w:val="24"/>
          <w:lang w:val="en-US" w:eastAsia="zh-CN"/>
        </w:rPr>
        <w:t>20</w:t>
      </w:r>
      <w:r>
        <w:rPr>
          <w:rFonts w:hint="eastAsia" w:ascii="仿宋" w:hAnsi="仿宋" w:eastAsia="仿宋" w:cs="仿宋"/>
          <w:szCs w:val="24"/>
        </w:rPr>
        <w:t>日</w:t>
      </w:r>
    </w:p>
    <w:p>
      <w:pPr>
        <w:spacing w:line="560" w:lineRule="exact"/>
        <w:rPr>
          <w:rFonts w:hint="eastAsia" w:ascii="仿宋" w:hAnsi="仿宋" w:eastAsia="仿宋" w:cs="仿宋"/>
          <w:b/>
          <w:bCs/>
          <w:color w:val="333333"/>
          <w:sz w:val="44"/>
          <w:szCs w:val="44"/>
        </w:rPr>
      </w:pPr>
    </w:p>
    <w:p>
      <w:pPr>
        <w:pStyle w:val="11"/>
        <w:spacing w:before="64"/>
        <w:jc w:val="center"/>
        <w:rPr>
          <w:rFonts w:ascii="Times New Roman" w:hAnsi="Times New Roman"/>
          <w:b/>
          <w:bCs/>
          <w:sz w:val="24"/>
          <w:szCs w:val="24"/>
          <w:lang w:eastAsia="zh-CN"/>
        </w:rPr>
      </w:pPr>
      <w:bookmarkStart w:id="1" w:name="_Hlk60145868"/>
      <w:r>
        <w:rPr>
          <w:rFonts w:ascii="Times New Roman" w:hAnsi="Times New Roman"/>
          <w:b/>
          <w:bCs/>
          <w:sz w:val="24"/>
          <w:szCs w:val="24"/>
          <w:lang w:eastAsia="zh-CN"/>
        </w:rPr>
        <w:t>202</w:t>
      </w:r>
      <w:r>
        <w:rPr>
          <w:rFonts w:hint="eastAsia" w:ascii="Times New Roman" w:hAnsi="Times New Roman"/>
          <w:b/>
          <w:bCs/>
          <w:sz w:val="24"/>
          <w:szCs w:val="24"/>
          <w:lang w:eastAsia="zh-CN"/>
        </w:rPr>
        <w:t>2</w:t>
      </w:r>
      <w:r>
        <w:rPr>
          <w:rFonts w:ascii="Times New Roman" w:hAnsi="Times New Roman"/>
          <w:b/>
          <w:bCs/>
          <w:sz w:val="24"/>
          <w:szCs w:val="24"/>
          <w:lang w:eastAsia="zh-CN"/>
        </w:rPr>
        <w:t>国际涂料原料选料大会</w:t>
      </w:r>
    </w:p>
    <w:p>
      <w:pPr>
        <w:pStyle w:val="11"/>
        <w:spacing w:before="64"/>
        <w:ind w:left="405"/>
        <w:jc w:val="center"/>
        <w:rPr>
          <w:rFonts w:ascii="Times New Roman" w:hAnsi="Times New Roman"/>
          <w:sz w:val="21"/>
          <w:szCs w:val="21"/>
          <w:lang w:eastAsia="zh-CN"/>
        </w:rPr>
      </w:pPr>
      <w:r>
        <w:rPr>
          <w:rFonts w:ascii="Times New Roman" w:hAnsi="Times New Roman"/>
          <w:sz w:val="21"/>
          <w:szCs w:val="21"/>
          <w:lang w:eastAsia="zh-CN"/>
        </w:rPr>
        <w:t>202</w:t>
      </w:r>
      <w:r>
        <w:rPr>
          <w:rFonts w:hint="eastAsia" w:ascii="Times New Roman" w:hAnsi="Times New Roman"/>
          <w:sz w:val="21"/>
          <w:szCs w:val="21"/>
          <w:lang w:eastAsia="zh-CN"/>
        </w:rPr>
        <w:t>2</w:t>
      </w:r>
      <w:r>
        <w:rPr>
          <w:rFonts w:ascii="Times New Roman" w:hAnsi="Times New Roman"/>
          <w:sz w:val="21"/>
          <w:szCs w:val="21"/>
          <w:lang w:eastAsia="zh-CN"/>
        </w:rPr>
        <w:t xml:space="preserve">  International Coating Raw Material Procurement Conference</w:t>
      </w:r>
    </w:p>
    <w:p>
      <w:pPr>
        <w:pStyle w:val="11"/>
        <w:spacing w:before="64"/>
        <w:ind w:left="405"/>
        <w:jc w:val="center"/>
        <w:rPr>
          <w:rFonts w:ascii="Times New Roman" w:hAnsi="Times New Roman"/>
          <w:sz w:val="24"/>
          <w:szCs w:val="24"/>
        </w:rPr>
      </w:pPr>
      <w:bookmarkStart w:id="2" w:name="OLE_LINK1"/>
      <w:r>
        <w:rPr>
          <w:rFonts w:ascii="Times New Roman" w:hAnsi="Times New Roman"/>
          <w:b/>
          <w:bCs/>
          <w:sz w:val="24"/>
          <w:szCs w:val="24"/>
        </w:rPr>
        <w:t>参会报名表</w:t>
      </w:r>
      <w:bookmarkEnd w:id="1"/>
      <w:bookmarkEnd w:id="2"/>
      <w:r>
        <w:rPr>
          <w:rFonts w:hint="eastAsia" w:ascii="Times New Roman" w:hAnsi="Times New Roman"/>
          <w:b/>
          <w:bCs/>
          <w:sz w:val="24"/>
          <w:szCs w:val="24"/>
          <w:lang w:eastAsia="zh-CN"/>
        </w:rPr>
        <w:t xml:space="preserve"> </w:t>
      </w:r>
      <w:r>
        <w:rPr>
          <w:rFonts w:ascii="Times New Roman" w:hAnsi="Times New Roman"/>
          <w:sz w:val="24"/>
          <w:szCs w:val="24"/>
          <w:lang w:eastAsia="zh-CN"/>
        </w:rPr>
        <w:t>Application Form</w:t>
      </w:r>
    </w:p>
    <w:tbl>
      <w:tblPr>
        <w:tblStyle w:val="5"/>
        <w:tblW w:w="9554" w:type="dxa"/>
        <w:jc w:val="center"/>
        <w:tblLayout w:type="fixed"/>
        <w:tblCellMar>
          <w:top w:w="0" w:type="dxa"/>
          <w:left w:w="0" w:type="dxa"/>
          <w:bottom w:w="0" w:type="dxa"/>
          <w:right w:w="0" w:type="dxa"/>
        </w:tblCellMar>
      </w:tblPr>
      <w:tblGrid>
        <w:gridCol w:w="2114"/>
        <w:gridCol w:w="1515"/>
        <w:gridCol w:w="776"/>
        <w:gridCol w:w="1924"/>
        <w:gridCol w:w="3225"/>
      </w:tblGrid>
      <w:tr>
        <w:tblPrEx>
          <w:tblCellMar>
            <w:top w:w="0" w:type="dxa"/>
            <w:left w:w="0" w:type="dxa"/>
            <w:bottom w:w="0" w:type="dxa"/>
            <w:right w:w="0" w:type="dxa"/>
          </w:tblCellMar>
        </w:tblPrEx>
        <w:trPr>
          <w:trHeight w:val="409" w:hRule="exact"/>
          <w:jc w:val="center"/>
        </w:trPr>
        <w:tc>
          <w:tcPr>
            <w:tcW w:w="2114" w:type="dxa"/>
            <w:tcBorders>
              <w:top w:val="single" w:color="000000" w:sz="4" w:space="0"/>
              <w:left w:val="single" w:color="000000" w:sz="4" w:space="0"/>
              <w:bottom w:val="single" w:color="000000" w:sz="4" w:space="0"/>
              <w:right w:val="single" w:color="000000" w:sz="4" w:space="0"/>
            </w:tcBorders>
          </w:tcPr>
          <w:p>
            <w:pPr>
              <w:pStyle w:val="11"/>
              <w:spacing w:before="63"/>
              <w:jc w:val="center"/>
              <w:rPr>
                <w:rFonts w:ascii="Times New Roman" w:hAnsi="Times New Roman"/>
                <w:sz w:val="18"/>
                <w:szCs w:val="18"/>
                <w:lang w:eastAsia="zh-CN"/>
              </w:rPr>
            </w:pPr>
            <w:r>
              <w:rPr>
                <w:rFonts w:ascii="Times New Roman" w:hAnsi="Times New Roman"/>
                <w:sz w:val="18"/>
                <w:szCs w:val="18"/>
              </w:rPr>
              <w:t>单位名称</w:t>
            </w:r>
            <w:r>
              <w:rPr>
                <w:rFonts w:ascii="Times New Roman" w:hAnsi="Times New Roman"/>
                <w:sz w:val="18"/>
                <w:szCs w:val="18"/>
                <w:lang w:eastAsia="zh-CN"/>
              </w:rPr>
              <w:t>Company Name</w:t>
            </w:r>
          </w:p>
        </w:tc>
        <w:tc>
          <w:tcPr>
            <w:tcW w:w="7440" w:type="dxa"/>
            <w:gridSpan w:val="4"/>
            <w:tcBorders>
              <w:top w:val="single" w:color="000000" w:sz="4" w:space="0"/>
              <w:left w:val="single" w:color="000000" w:sz="4" w:space="0"/>
              <w:bottom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372" w:hRule="exact"/>
          <w:jc w:val="center"/>
        </w:trPr>
        <w:tc>
          <w:tcPr>
            <w:tcW w:w="2114" w:type="dxa"/>
            <w:tcBorders>
              <w:top w:val="single" w:color="000000" w:sz="4" w:space="0"/>
              <w:left w:val="single" w:color="000000" w:sz="4" w:space="0"/>
              <w:bottom w:val="single" w:color="000000" w:sz="4" w:space="0"/>
              <w:right w:val="single" w:color="000000" w:sz="4" w:space="0"/>
            </w:tcBorders>
          </w:tcPr>
          <w:p>
            <w:pPr>
              <w:pStyle w:val="11"/>
              <w:spacing w:before="64"/>
              <w:jc w:val="center"/>
              <w:rPr>
                <w:rFonts w:ascii="Times New Roman" w:hAnsi="Times New Roman"/>
                <w:sz w:val="18"/>
                <w:szCs w:val="18"/>
                <w:lang w:eastAsia="zh-CN"/>
              </w:rPr>
            </w:pPr>
            <w:r>
              <w:rPr>
                <w:rFonts w:ascii="Times New Roman" w:hAnsi="Times New Roman"/>
                <w:sz w:val="18"/>
                <w:szCs w:val="18"/>
              </w:rPr>
              <w:t>联系人</w:t>
            </w:r>
            <w:r>
              <w:rPr>
                <w:rFonts w:ascii="Times New Roman" w:hAnsi="Times New Roman"/>
                <w:sz w:val="18"/>
                <w:szCs w:val="18"/>
                <w:lang w:eastAsia="zh-CN"/>
              </w:rPr>
              <w:t>Contact Person</w:t>
            </w:r>
          </w:p>
        </w:tc>
        <w:tc>
          <w:tcPr>
            <w:tcW w:w="2291" w:type="dxa"/>
            <w:gridSpan w:val="2"/>
            <w:tcBorders>
              <w:top w:val="single" w:color="000000" w:sz="4" w:space="0"/>
              <w:left w:val="single" w:color="000000" w:sz="4" w:space="0"/>
              <w:bottom w:val="single" w:color="000000" w:sz="4" w:space="0"/>
              <w:right w:val="single" w:color="000000" w:sz="4" w:space="0"/>
            </w:tcBorders>
          </w:tcPr>
          <w:p>
            <w:pPr>
              <w:rPr>
                <w:sz w:val="18"/>
                <w:szCs w:val="18"/>
              </w:rPr>
            </w:pPr>
          </w:p>
        </w:tc>
        <w:tc>
          <w:tcPr>
            <w:tcW w:w="1924" w:type="dxa"/>
            <w:tcBorders>
              <w:top w:val="single" w:color="000000" w:sz="4" w:space="0"/>
              <w:left w:val="single" w:color="000000" w:sz="4" w:space="0"/>
              <w:bottom w:val="single" w:color="000000" w:sz="4" w:space="0"/>
              <w:right w:val="single" w:color="000000" w:sz="4" w:space="0"/>
            </w:tcBorders>
          </w:tcPr>
          <w:p>
            <w:pPr>
              <w:pStyle w:val="11"/>
              <w:spacing w:before="64"/>
              <w:ind w:left="405"/>
              <w:rPr>
                <w:rFonts w:ascii="Times New Roman" w:hAnsi="Times New Roman"/>
                <w:sz w:val="18"/>
                <w:szCs w:val="18"/>
                <w:lang w:eastAsia="zh-CN"/>
              </w:rPr>
            </w:pPr>
            <w:r>
              <w:rPr>
                <w:rFonts w:ascii="Times New Roman" w:hAnsi="Times New Roman"/>
                <w:sz w:val="18"/>
                <w:szCs w:val="18"/>
              </w:rPr>
              <w:t>职</w:t>
            </w:r>
            <w:r>
              <w:rPr>
                <w:rFonts w:ascii="Times New Roman" w:hAnsi="Times New Roman"/>
                <w:spacing w:val="48"/>
                <w:sz w:val="18"/>
                <w:szCs w:val="18"/>
              </w:rPr>
              <w:t xml:space="preserve"> </w:t>
            </w:r>
            <w:r>
              <w:rPr>
                <w:rFonts w:hint="eastAsia" w:ascii="Times New Roman" w:hAnsi="Times New Roman"/>
                <w:spacing w:val="48"/>
                <w:sz w:val="18"/>
                <w:szCs w:val="18"/>
                <w:lang w:eastAsia="zh-CN"/>
              </w:rPr>
              <w:t>位</w:t>
            </w:r>
            <w:r>
              <w:rPr>
                <w:rFonts w:ascii="Times New Roman" w:hAnsi="Times New Roman"/>
                <w:sz w:val="18"/>
                <w:szCs w:val="18"/>
                <w:lang w:eastAsia="zh-CN"/>
              </w:rPr>
              <w:t>Position</w:t>
            </w:r>
          </w:p>
        </w:tc>
        <w:tc>
          <w:tcPr>
            <w:tcW w:w="3225" w:type="dxa"/>
            <w:tcBorders>
              <w:top w:val="single" w:color="000000" w:sz="4" w:space="0"/>
              <w:left w:val="single" w:color="000000" w:sz="4" w:space="0"/>
              <w:bottom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425" w:hRule="exact"/>
          <w:jc w:val="center"/>
        </w:trPr>
        <w:tc>
          <w:tcPr>
            <w:tcW w:w="2114" w:type="dxa"/>
            <w:tcBorders>
              <w:top w:val="single" w:color="000000" w:sz="4" w:space="0"/>
              <w:left w:val="single" w:color="000000" w:sz="4" w:space="0"/>
              <w:bottom w:val="single" w:color="000000" w:sz="4" w:space="0"/>
              <w:right w:val="single" w:color="000000" w:sz="4" w:space="0"/>
            </w:tcBorders>
          </w:tcPr>
          <w:p>
            <w:pPr>
              <w:pStyle w:val="11"/>
              <w:spacing w:before="64"/>
              <w:jc w:val="center"/>
              <w:rPr>
                <w:rFonts w:ascii="Times New Roman" w:hAnsi="Times New Roman"/>
                <w:sz w:val="18"/>
                <w:szCs w:val="18"/>
                <w:lang w:eastAsia="zh-CN"/>
              </w:rPr>
            </w:pPr>
            <w:r>
              <w:rPr>
                <w:rFonts w:ascii="Times New Roman" w:hAnsi="Times New Roman"/>
                <w:sz w:val="18"/>
                <w:szCs w:val="18"/>
              </w:rPr>
              <w:t>联系电话</w:t>
            </w:r>
            <w:r>
              <w:rPr>
                <w:rFonts w:ascii="Times New Roman" w:hAnsi="Times New Roman"/>
                <w:sz w:val="18"/>
                <w:szCs w:val="18"/>
                <w:lang w:eastAsia="zh-CN"/>
              </w:rPr>
              <w:t>Tel</w:t>
            </w:r>
          </w:p>
        </w:tc>
        <w:tc>
          <w:tcPr>
            <w:tcW w:w="2291" w:type="dxa"/>
            <w:gridSpan w:val="2"/>
            <w:tcBorders>
              <w:top w:val="single" w:color="000000" w:sz="4" w:space="0"/>
              <w:left w:val="single" w:color="000000" w:sz="4" w:space="0"/>
              <w:bottom w:val="single" w:color="000000" w:sz="4" w:space="0"/>
              <w:right w:val="single" w:color="000000" w:sz="4" w:space="0"/>
            </w:tcBorders>
          </w:tcPr>
          <w:p>
            <w:pPr>
              <w:rPr>
                <w:sz w:val="18"/>
                <w:szCs w:val="18"/>
              </w:rPr>
            </w:pPr>
          </w:p>
        </w:tc>
        <w:tc>
          <w:tcPr>
            <w:tcW w:w="1924" w:type="dxa"/>
            <w:tcBorders>
              <w:top w:val="single" w:color="000000" w:sz="4" w:space="0"/>
              <w:left w:val="single" w:color="000000" w:sz="4" w:space="0"/>
              <w:bottom w:val="single" w:color="000000" w:sz="4" w:space="0"/>
              <w:right w:val="single" w:color="000000" w:sz="4" w:space="0"/>
            </w:tcBorders>
          </w:tcPr>
          <w:p>
            <w:pPr>
              <w:pStyle w:val="11"/>
              <w:spacing w:before="64"/>
              <w:ind w:left="465"/>
              <w:rPr>
                <w:rFonts w:ascii="Times New Roman" w:hAnsi="Times New Roman"/>
                <w:sz w:val="18"/>
                <w:szCs w:val="18"/>
                <w:lang w:eastAsia="zh-CN"/>
              </w:rPr>
            </w:pPr>
            <w:r>
              <w:rPr>
                <w:rFonts w:ascii="Times New Roman" w:hAnsi="Times New Roman"/>
                <w:sz w:val="18"/>
                <w:szCs w:val="18"/>
              </w:rPr>
              <w:t>邮箱</w:t>
            </w:r>
            <w:r>
              <w:rPr>
                <w:rFonts w:ascii="Times New Roman" w:hAnsi="Times New Roman"/>
                <w:sz w:val="18"/>
                <w:szCs w:val="18"/>
                <w:lang w:eastAsia="zh-CN"/>
              </w:rPr>
              <w:t>Email</w:t>
            </w:r>
          </w:p>
        </w:tc>
        <w:tc>
          <w:tcPr>
            <w:tcW w:w="3225" w:type="dxa"/>
            <w:tcBorders>
              <w:top w:val="single" w:color="000000" w:sz="4" w:space="0"/>
              <w:left w:val="single" w:color="000000" w:sz="4" w:space="0"/>
              <w:bottom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419" w:hRule="exact"/>
          <w:jc w:val="center"/>
        </w:trPr>
        <w:tc>
          <w:tcPr>
            <w:tcW w:w="2114" w:type="dxa"/>
            <w:tcBorders>
              <w:top w:val="single" w:color="000000" w:sz="4" w:space="0"/>
              <w:left w:val="single" w:color="000000" w:sz="4" w:space="0"/>
              <w:bottom w:val="single" w:color="000000" w:sz="4" w:space="0"/>
              <w:right w:val="single" w:color="000000" w:sz="4" w:space="0"/>
            </w:tcBorders>
          </w:tcPr>
          <w:p>
            <w:pPr>
              <w:pStyle w:val="11"/>
              <w:spacing w:before="65"/>
              <w:jc w:val="center"/>
              <w:rPr>
                <w:rFonts w:ascii="Times New Roman" w:hAnsi="Times New Roman"/>
                <w:sz w:val="18"/>
                <w:szCs w:val="18"/>
                <w:lang w:eastAsia="zh-CN"/>
              </w:rPr>
            </w:pPr>
            <w:bookmarkStart w:id="3" w:name="OLE_LINK2"/>
            <w:r>
              <w:rPr>
                <w:rFonts w:ascii="Times New Roman" w:hAnsi="Times New Roman"/>
                <w:sz w:val="18"/>
                <w:szCs w:val="18"/>
              </w:rPr>
              <w:t>经营产品名称</w:t>
            </w:r>
            <w:bookmarkEnd w:id="3"/>
            <w:r>
              <w:rPr>
                <w:rFonts w:ascii="Times New Roman" w:hAnsi="Times New Roman"/>
                <w:sz w:val="18"/>
                <w:szCs w:val="18"/>
                <w:lang w:eastAsia="zh-CN"/>
              </w:rPr>
              <w:t>Products</w:t>
            </w:r>
          </w:p>
        </w:tc>
        <w:tc>
          <w:tcPr>
            <w:tcW w:w="7440" w:type="dxa"/>
            <w:gridSpan w:val="4"/>
            <w:tcBorders>
              <w:top w:val="single" w:color="000000" w:sz="4" w:space="0"/>
              <w:left w:val="single" w:color="000000" w:sz="4" w:space="0"/>
              <w:bottom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4671" w:hRule="exact"/>
          <w:jc w:val="center"/>
        </w:trPr>
        <w:tc>
          <w:tcPr>
            <w:tcW w:w="2114" w:type="dxa"/>
            <w:tcBorders>
              <w:top w:val="single" w:color="000000" w:sz="4" w:space="0"/>
              <w:left w:val="single" w:color="000000" w:sz="4" w:space="0"/>
              <w:bottom w:val="single" w:color="000000" w:sz="4" w:space="0"/>
              <w:right w:val="single" w:color="000000" w:sz="4" w:space="0"/>
            </w:tcBorders>
          </w:tcPr>
          <w:p>
            <w:pPr>
              <w:pStyle w:val="11"/>
              <w:rPr>
                <w:rFonts w:ascii="Times New Roman" w:hAnsi="Times New Roman"/>
                <w:b/>
                <w:bCs/>
                <w:sz w:val="18"/>
                <w:szCs w:val="18"/>
              </w:rPr>
            </w:pPr>
          </w:p>
          <w:p>
            <w:pPr>
              <w:pStyle w:val="11"/>
              <w:spacing w:before="207" w:line="300" w:lineRule="auto"/>
              <w:ind w:right="167"/>
              <w:rPr>
                <w:rFonts w:ascii="Times New Roman" w:hAnsi="Times New Roman"/>
                <w:sz w:val="18"/>
                <w:szCs w:val="18"/>
              </w:rPr>
            </w:pPr>
          </w:p>
          <w:p>
            <w:pPr>
              <w:pStyle w:val="11"/>
              <w:spacing w:before="207" w:line="300" w:lineRule="auto"/>
              <w:ind w:right="167"/>
              <w:rPr>
                <w:rFonts w:ascii="Times New Roman" w:hAnsi="Times New Roman"/>
                <w:sz w:val="18"/>
                <w:szCs w:val="18"/>
              </w:rPr>
            </w:pPr>
          </w:p>
          <w:p>
            <w:pPr>
              <w:pStyle w:val="11"/>
              <w:spacing w:before="207" w:line="300" w:lineRule="auto"/>
              <w:ind w:left="889" w:right="167" w:hanging="720"/>
              <w:rPr>
                <w:rFonts w:ascii="Times New Roman" w:hAnsi="Times New Roman"/>
                <w:sz w:val="18"/>
                <w:szCs w:val="18"/>
              </w:rPr>
            </w:pPr>
            <w:r>
              <w:rPr>
                <w:rFonts w:ascii="Times New Roman" w:hAnsi="Times New Roman"/>
                <w:sz w:val="18"/>
                <w:szCs w:val="18"/>
              </w:rPr>
              <w:t>经营产品所属类别</w:t>
            </w:r>
          </w:p>
          <w:p>
            <w:pPr>
              <w:pStyle w:val="11"/>
              <w:spacing w:before="207" w:line="300" w:lineRule="auto"/>
              <w:ind w:left="889" w:right="167" w:hanging="720"/>
              <w:rPr>
                <w:rFonts w:ascii="Times New Roman" w:hAnsi="Times New Roman"/>
                <w:sz w:val="18"/>
                <w:szCs w:val="18"/>
                <w:lang w:eastAsia="zh-CN"/>
              </w:rPr>
            </w:pPr>
            <w:r>
              <w:rPr>
                <w:rFonts w:ascii="Times New Roman" w:hAnsi="Times New Roman"/>
                <w:sz w:val="18"/>
                <w:szCs w:val="18"/>
                <w:lang w:eastAsia="zh-CN"/>
              </w:rPr>
              <w:t>Products Category</w:t>
            </w:r>
          </w:p>
        </w:tc>
        <w:tc>
          <w:tcPr>
            <w:tcW w:w="7440" w:type="dxa"/>
            <w:gridSpan w:val="4"/>
            <w:tcBorders>
              <w:top w:val="single" w:color="000000" w:sz="4" w:space="0"/>
              <w:left w:val="single" w:color="000000" w:sz="4" w:space="0"/>
              <w:bottom w:val="single" w:color="000000" w:sz="4" w:space="0"/>
              <w:right w:val="single" w:color="000000" w:sz="4" w:space="0"/>
            </w:tcBorders>
          </w:tcPr>
          <w:p>
            <w:pPr>
              <w:pStyle w:val="11"/>
              <w:spacing w:before="65"/>
              <w:ind w:left="104" w:firstLine="180" w:firstLineChars="100"/>
              <w:rPr>
                <w:rFonts w:ascii="Times New Roman" w:hAnsi="Times New Roman"/>
                <w:sz w:val="18"/>
                <w:szCs w:val="18"/>
                <w:lang w:eastAsia="zh-CN"/>
              </w:rPr>
            </w:pPr>
            <w:r>
              <w:rPr>
                <w:rFonts w:ascii="Times New Roman" w:hAnsi="Times New Roman"/>
                <w:sz w:val="18"/>
                <w:szCs w:val="18"/>
                <w:lang w:eastAsia="zh-CN"/>
              </w:rPr>
              <w:t>可多选 Multiple Choices</w:t>
            </w:r>
          </w:p>
          <w:p>
            <w:pPr>
              <w:pStyle w:val="11"/>
              <w:spacing w:before="104"/>
              <w:ind w:left="104"/>
              <w:rPr>
                <w:rFonts w:ascii="Times New Roman" w:hAnsi="Times New Roman"/>
                <w:sz w:val="18"/>
                <w:szCs w:val="18"/>
                <w:lang w:eastAsia="zh-CN"/>
              </w:rPr>
            </w:pPr>
            <w:bookmarkStart w:id="4" w:name="OLE_LINK3"/>
            <w:r>
              <w:rPr>
                <w:rFonts w:ascii="Times New Roman" w:hAnsi="Times New Roman"/>
                <w:spacing w:val="-123"/>
                <w:sz w:val="18"/>
                <w:szCs w:val="18"/>
                <w:lang w:eastAsia="zh-CN"/>
              </w:rPr>
              <w:sym w:font="Wingdings 2" w:char="00A3"/>
            </w:r>
            <w:r>
              <w:rPr>
                <w:rFonts w:ascii="Times New Roman" w:hAnsi="Times New Roman"/>
                <w:sz w:val="18"/>
                <w:szCs w:val="18"/>
                <w:lang w:eastAsia="zh-CN"/>
              </w:rPr>
              <w:t>成膜物、乳液、树脂类</w:t>
            </w:r>
            <w:bookmarkEnd w:id="4"/>
            <w:r>
              <w:rPr>
                <w:rFonts w:ascii="Times New Roman" w:hAnsi="Times New Roman"/>
                <w:sz w:val="18"/>
                <w:szCs w:val="18"/>
                <w:lang w:eastAsia="zh-CN"/>
              </w:rPr>
              <w:t>Film-forming materials, emulsions, resins</w:t>
            </w:r>
          </w:p>
          <w:p>
            <w:pPr>
              <w:pStyle w:val="11"/>
              <w:spacing w:before="106"/>
              <w:ind w:left="104"/>
              <w:rPr>
                <w:rFonts w:ascii="Times New Roman" w:hAnsi="Times New Roman"/>
                <w:sz w:val="18"/>
                <w:szCs w:val="18"/>
                <w:lang w:eastAsia="zh-CN"/>
              </w:rPr>
            </w:pPr>
            <w:bookmarkStart w:id="5" w:name="OLE_LINK4"/>
            <w:r>
              <w:rPr>
                <w:rFonts w:ascii="Times New Roman" w:hAnsi="Times New Roman"/>
                <w:spacing w:val="-123"/>
                <w:sz w:val="18"/>
                <w:szCs w:val="18"/>
                <w:lang w:eastAsia="zh-CN"/>
              </w:rPr>
              <w:sym w:font="Wingdings 2" w:char="00A3"/>
            </w:r>
            <w:r>
              <w:rPr>
                <w:rFonts w:ascii="Times New Roman" w:hAnsi="Times New Roman"/>
                <w:sz w:val="18"/>
                <w:szCs w:val="18"/>
                <w:lang w:eastAsia="zh-CN"/>
              </w:rPr>
              <w:t>助剂、添加剂及其他试剂类</w:t>
            </w:r>
            <w:bookmarkEnd w:id="5"/>
            <w:r>
              <w:rPr>
                <w:rFonts w:ascii="Times New Roman" w:hAnsi="Times New Roman"/>
                <w:sz w:val="18"/>
                <w:szCs w:val="18"/>
                <w:lang w:eastAsia="zh-CN"/>
              </w:rPr>
              <w:t>Auxiliaries, additives and other reagents</w:t>
            </w:r>
          </w:p>
          <w:p>
            <w:pPr>
              <w:pStyle w:val="11"/>
              <w:spacing w:before="106"/>
              <w:ind w:left="104"/>
              <w:rPr>
                <w:rFonts w:ascii="Times New Roman" w:hAnsi="Times New Roman"/>
                <w:sz w:val="18"/>
                <w:szCs w:val="18"/>
                <w:lang w:eastAsia="zh-CN"/>
              </w:rPr>
            </w:pPr>
            <w:bookmarkStart w:id="6" w:name="OLE_LINK5"/>
            <w:r>
              <w:rPr>
                <w:rFonts w:ascii="Times New Roman" w:hAnsi="Times New Roman"/>
                <w:spacing w:val="-123"/>
                <w:sz w:val="18"/>
                <w:szCs w:val="18"/>
                <w:lang w:eastAsia="zh-CN"/>
              </w:rPr>
              <w:sym w:font="Wingdings 2" w:char="00A3"/>
            </w:r>
            <w:r>
              <w:rPr>
                <w:rFonts w:ascii="Times New Roman" w:hAnsi="Times New Roman"/>
                <w:sz w:val="18"/>
                <w:szCs w:val="18"/>
                <w:lang w:eastAsia="zh-CN"/>
              </w:rPr>
              <w:t>颜料、色浆、染料类</w:t>
            </w:r>
            <w:bookmarkEnd w:id="6"/>
            <w:r>
              <w:rPr>
                <w:rFonts w:ascii="Times New Roman" w:hAnsi="Times New Roman"/>
                <w:sz w:val="18"/>
                <w:szCs w:val="18"/>
                <w:lang w:eastAsia="zh-CN"/>
              </w:rPr>
              <w:t>Pigments, colour pastes and dyestuffs</w:t>
            </w:r>
          </w:p>
          <w:p>
            <w:pPr>
              <w:pStyle w:val="11"/>
              <w:spacing w:before="104"/>
              <w:ind w:left="104"/>
              <w:rPr>
                <w:rFonts w:ascii="Times New Roman" w:hAnsi="Times New Roman"/>
                <w:sz w:val="18"/>
                <w:szCs w:val="18"/>
                <w:lang w:eastAsia="zh-CN"/>
              </w:rPr>
            </w:pPr>
            <w:bookmarkStart w:id="7" w:name="OLE_LINK6"/>
            <w:r>
              <w:rPr>
                <w:rFonts w:ascii="Times New Roman" w:hAnsi="Times New Roman"/>
                <w:spacing w:val="-123"/>
                <w:sz w:val="18"/>
                <w:szCs w:val="18"/>
                <w:lang w:eastAsia="zh-CN"/>
              </w:rPr>
              <w:sym w:font="Wingdings 2" w:char="00A3"/>
            </w:r>
            <w:r>
              <w:rPr>
                <w:rFonts w:ascii="Times New Roman" w:hAnsi="Times New Roman"/>
                <w:sz w:val="18"/>
                <w:szCs w:val="18"/>
                <w:lang w:eastAsia="zh-CN"/>
              </w:rPr>
              <w:t>溶剂类</w:t>
            </w:r>
            <w:bookmarkEnd w:id="7"/>
            <w:r>
              <w:rPr>
                <w:rFonts w:ascii="Times New Roman" w:hAnsi="Times New Roman"/>
                <w:sz w:val="18"/>
                <w:szCs w:val="18"/>
                <w:lang w:eastAsia="zh-CN"/>
              </w:rPr>
              <w:t>Solvents</w:t>
            </w:r>
          </w:p>
          <w:p>
            <w:pPr>
              <w:pStyle w:val="11"/>
              <w:spacing w:before="106"/>
              <w:ind w:left="104"/>
              <w:rPr>
                <w:rFonts w:ascii="Times New Roman" w:hAnsi="Times New Roman"/>
                <w:sz w:val="18"/>
                <w:szCs w:val="18"/>
                <w:lang w:eastAsia="zh-CN"/>
              </w:rPr>
            </w:pPr>
            <w:r>
              <w:rPr>
                <w:rFonts w:ascii="Times New Roman" w:hAnsi="Times New Roman"/>
                <w:spacing w:val="-123"/>
                <w:sz w:val="18"/>
                <w:szCs w:val="18"/>
                <w:lang w:eastAsia="zh-CN"/>
              </w:rPr>
              <w:sym w:font="Wingdings 2" w:char="00A3"/>
            </w:r>
            <w:r>
              <w:rPr>
                <w:rFonts w:ascii="Times New Roman" w:hAnsi="Times New Roman"/>
                <w:sz w:val="18"/>
                <w:szCs w:val="18"/>
                <w:lang w:eastAsia="zh-CN"/>
              </w:rPr>
              <w:t>填料类Fillers</w:t>
            </w:r>
          </w:p>
          <w:p>
            <w:pPr>
              <w:pStyle w:val="11"/>
              <w:spacing w:before="106"/>
              <w:ind w:left="104"/>
              <w:rPr>
                <w:rFonts w:ascii="Times New Roman" w:hAnsi="Times New Roman"/>
                <w:sz w:val="18"/>
                <w:szCs w:val="18"/>
                <w:lang w:eastAsia="zh-CN"/>
              </w:rPr>
            </w:pPr>
            <w:r>
              <w:rPr>
                <w:rFonts w:ascii="Times New Roman" w:hAnsi="Times New Roman"/>
                <w:spacing w:val="-123"/>
                <w:sz w:val="18"/>
                <w:szCs w:val="18"/>
                <w:lang w:eastAsia="zh-CN"/>
              </w:rPr>
              <w:sym w:font="Wingdings 2" w:char="00A3"/>
            </w:r>
            <w:r>
              <w:rPr>
                <w:rFonts w:ascii="Times New Roman" w:hAnsi="Times New Roman"/>
                <w:sz w:val="18"/>
                <w:szCs w:val="18"/>
                <w:lang w:eastAsia="zh-CN"/>
              </w:rPr>
              <w:t>生产设备类Production equipment</w:t>
            </w:r>
          </w:p>
          <w:p>
            <w:pPr>
              <w:pStyle w:val="11"/>
              <w:spacing w:before="104"/>
              <w:ind w:left="104"/>
              <w:rPr>
                <w:rFonts w:ascii="Times New Roman" w:hAnsi="Times New Roman"/>
                <w:sz w:val="18"/>
                <w:szCs w:val="18"/>
                <w:lang w:eastAsia="zh-CN"/>
              </w:rPr>
            </w:pPr>
            <w:r>
              <w:rPr>
                <w:rFonts w:ascii="Times New Roman" w:hAnsi="Times New Roman"/>
                <w:spacing w:val="-123"/>
                <w:sz w:val="18"/>
                <w:szCs w:val="18"/>
                <w:lang w:eastAsia="zh-CN"/>
              </w:rPr>
              <w:sym w:font="Wingdings 2" w:char="00A3"/>
            </w:r>
            <w:r>
              <w:rPr>
                <w:rFonts w:ascii="Times New Roman" w:hAnsi="Times New Roman"/>
                <w:sz w:val="18"/>
                <w:szCs w:val="18"/>
                <w:lang w:eastAsia="zh-CN"/>
              </w:rPr>
              <w:t>检测仪器及科研类Testing instruments and scientific research</w:t>
            </w:r>
          </w:p>
          <w:p>
            <w:pPr>
              <w:pStyle w:val="11"/>
              <w:spacing w:before="106"/>
              <w:ind w:left="104"/>
              <w:rPr>
                <w:rFonts w:ascii="Times New Roman" w:hAnsi="Times New Roman"/>
                <w:sz w:val="18"/>
                <w:szCs w:val="18"/>
                <w:lang w:eastAsia="zh-CN"/>
              </w:rPr>
            </w:pPr>
            <w:r>
              <w:rPr>
                <w:rFonts w:ascii="Times New Roman" w:hAnsi="Times New Roman"/>
                <w:spacing w:val="-123"/>
                <w:sz w:val="18"/>
                <w:szCs w:val="18"/>
                <w:lang w:eastAsia="zh-CN"/>
              </w:rPr>
              <w:sym w:font="Wingdings 2" w:char="00A3"/>
            </w:r>
            <w:r>
              <w:rPr>
                <w:rFonts w:ascii="Times New Roman" w:hAnsi="Times New Roman"/>
                <w:sz w:val="18"/>
                <w:szCs w:val="18"/>
                <w:lang w:eastAsia="zh-CN"/>
              </w:rPr>
              <w:t>UV/EB</w:t>
            </w:r>
            <w:r>
              <w:rPr>
                <w:rFonts w:ascii="Times New Roman" w:hAnsi="Times New Roman"/>
                <w:spacing w:val="-15"/>
                <w:sz w:val="18"/>
                <w:szCs w:val="18"/>
                <w:lang w:eastAsia="zh-CN"/>
              </w:rPr>
              <w:t xml:space="preserve"> </w:t>
            </w:r>
            <w:r>
              <w:rPr>
                <w:rFonts w:ascii="Times New Roman" w:hAnsi="Times New Roman"/>
                <w:sz w:val="18"/>
                <w:szCs w:val="18"/>
                <w:lang w:eastAsia="zh-CN"/>
              </w:rPr>
              <w:t>固化产品及技术类UV / EB curing products and technologies</w:t>
            </w:r>
          </w:p>
          <w:p>
            <w:pPr>
              <w:pStyle w:val="11"/>
              <w:spacing w:before="106"/>
              <w:ind w:left="104"/>
              <w:rPr>
                <w:rFonts w:ascii="Times New Roman" w:hAnsi="Times New Roman"/>
                <w:sz w:val="18"/>
                <w:szCs w:val="18"/>
                <w:lang w:eastAsia="zh-CN"/>
              </w:rPr>
            </w:pPr>
            <w:r>
              <w:rPr>
                <w:rFonts w:ascii="Times New Roman" w:hAnsi="Times New Roman"/>
                <w:spacing w:val="-123"/>
                <w:sz w:val="18"/>
                <w:szCs w:val="18"/>
                <w:lang w:eastAsia="zh-CN"/>
              </w:rPr>
              <w:sym w:font="Wingdings 2" w:char="00A3"/>
            </w:r>
            <w:r>
              <w:rPr>
                <w:rFonts w:ascii="Times New Roman" w:hAnsi="Times New Roman"/>
                <w:sz w:val="18"/>
                <w:szCs w:val="18"/>
              </w:rPr>
              <w:t>环保类</w:t>
            </w:r>
            <w:r>
              <w:rPr>
                <w:rFonts w:ascii="Times New Roman" w:hAnsi="Times New Roman"/>
                <w:sz w:val="18"/>
                <w:szCs w:val="18"/>
                <w:lang w:eastAsia="zh-CN"/>
              </w:rPr>
              <w:t>Environmental protection</w:t>
            </w:r>
          </w:p>
          <w:p>
            <w:pPr>
              <w:pStyle w:val="11"/>
              <w:tabs>
                <w:tab w:val="left" w:pos="3763"/>
              </w:tabs>
              <w:spacing w:before="104"/>
              <w:ind w:left="104"/>
              <w:rPr>
                <w:rFonts w:ascii="Times New Roman" w:hAnsi="Times New Roman"/>
                <w:sz w:val="18"/>
                <w:szCs w:val="18"/>
              </w:rPr>
            </w:pPr>
            <w:r>
              <w:rPr>
                <w:rFonts w:ascii="Times New Roman" w:hAnsi="Times New Roman"/>
                <w:sz w:val="18"/>
                <w:szCs w:val="18"/>
              </w:rPr>
              <w:t>其他</w:t>
            </w:r>
            <w:r>
              <w:rPr>
                <w:rFonts w:ascii="Times New Roman" w:hAnsi="Times New Roman"/>
                <w:sz w:val="18"/>
                <w:szCs w:val="18"/>
                <w:lang w:eastAsia="zh-CN"/>
              </w:rPr>
              <w:t>Others</w:t>
            </w:r>
            <w:r>
              <w:rPr>
                <w:rFonts w:ascii="Times New Roman" w:hAnsi="Times New Roman"/>
                <w:sz w:val="18"/>
                <w:szCs w:val="18"/>
              </w:rPr>
              <w:t>：</w:t>
            </w:r>
            <w:r>
              <w:rPr>
                <w:rFonts w:ascii="Times New Roman" w:hAnsi="Times New Roman"/>
                <w:sz w:val="18"/>
                <w:szCs w:val="18"/>
                <w:u w:val="single" w:color="000000"/>
              </w:rPr>
              <w:t xml:space="preserve"> </w:t>
            </w:r>
            <w:r>
              <w:rPr>
                <w:rFonts w:ascii="Times New Roman" w:hAnsi="Times New Roman"/>
                <w:sz w:val="18"/>
                <w:szCs w:val="18"/>
                <w:u w:val="single" w:color="000000"/>
              </w:rPr>
              <w:tab/>
            </w:r>
          </w:p>
        </w:tc>
      </w:tr>
      <w:tr>
        <w:tblPrEx>
          <w:tblCellMar>
            <w:top w:w="0" w:type="dxa"/>
            <w:left w:w="0" w:type="dxa"/>
            <w:bottom w:w="0" w:type="dxa"/>
            <w:right w:w="0" w:type="dxa"/>
          </w:tblCellMar>
        </w:tblPrEx>
        <w:trPr>
          <w:trHeight w:val="1658" w:hRule="exact"/>
          <w:jc w:val="center"/>
        </w:trPr>
        <w:tc>
          <w:tcPr>
            <w:tcW w:w="2114" w:type="dxa"/>
            <w:tcBorders>
              <w:top w:val="single" w:color="000000" w:sz="4" w:space="0"/>
              <w:left w:val="single" w:color="000000" w:sz="4" w:space="0"/>
              <w:bottom w:val="single" w:color="000000" w:sz="4" w:space="0"/>
              <w:right w:val="single" w:color="000000" w:sz="4" w:space="0"/>
            </w:tcBorders>
          </w:tcPr>
          <w:p>
            <w:pPr>
              <w:pStyle w:val="11"/>
              <w:spacing w:before="9"/>
              <w:rPr>
                <w:rFonts w:ascii="Times New Roman" w:hAnsi="Times New Roman"/>
                <w:b/>
                <w:bCs/>
                <w:sz w:val="18"/>
                <w:szCs w:val="18"/>
                <w:lang w:eastAsia="zh-CN"/>
              </w:rPr>
            </w:pPr>
          </w:p>
          <w:p>
            <w:pPr>
              <w:pStyle w:val="11"/>
              <w:jc w:val="center"/>
              <w:rPr>
                <w:rFonts w:ascii="Times New Roman" w:hAnsi="Times New Roman"/>
                <w:sz w:val="18"/>
                <w:szCs w:val="18"/>
              </w:rPr>
            </w:pPr>
            <w:bookmarkStart w:id="8" w:name="OLE_LINK8"/>
            <w:r>
              <w:rPr>
                <w:rFonts w:ascii="Times New Roman" w:hAnsi="Times New Roman"/>
                <w:sz w:val="18"/>
                <w:szCs w:val="18"/>
              </w:rPr>
              <w:t>报名及收费</w:t>
            </w:r>
            <w:bookmarkEnd w:id="8"/>
          </w:p>
          <w:p>
            <w:pPr>
              <w:pStyle w:val="11"/>
              <w:jc w:val="center"/>
              <w:rPr>
                <w:rFonts w:ascii="Times New Roman" w:hAnsi="Times New Roman"/>
                <w:sz w:val="18"/>
                <w:szCs w:val="18"/>
                <w:lang w:eastAsia="zh-CN"/>
              </w:rPr>
            </w:pPr>
            <w:r>
              <w:rPr>
                <w:rFonts w:ascii="Times New Roman" w:hAnsi="Times New Roman"/>
                <w:sz w:val="18"/>
                <w:szCs w:val="18"/>
                <w:lang w:eastAsia="zh-CN"/>
              </w:rPr>
              <w:t>Sign up and fees</w:t>
            </w:r>
          </w:p>
        </w:tc>
        <w:tc>
          <w:tcPr>
            <w:tcW w:w="7440" w:type="dxa"/>
            <w:gridSpan w:val="4"/>
            <w:tcBorders>
              <w:top w:val="single" w:color="000000" w:sz="4" w:space="0"/>
              <w:left w:val="single" w:color="000000" w:sz="4" w:space="0"/>
              <w:bottom w:val="single" w:color="000000" w:sz="4" w:space="0"/>
              <w:right w:val="single" w:color="000000" w:sz="4" w:space="0"/>
            </w:tcBorders>
          </w:tcPr>
          <w:p>
            <w:pPr>
              <w:pStyle w:val="11"/>
              <w:spacing w:before="64"/>
              <w:ind w:left="104"/>
              <w:rPr>
                <w:rFonts w:ascii="Times New Roman" w:hAnsi="Times New Roman"/>
                <w:sz w:val="18"/>
                <w:szCs w:val="18"/>
                <w:lang w:eastAsia="zh-CN"/>
              </w:rPr>
            </w:pPr>
            <w:r>
              <w:rPr>
                <w:rFonts w:ascii="Times New Roman" w:hAnsi="Times New Roman"/>
                <w:sz w:val="18"/>
                <w:szCs w:val="18"/>
                <w:lang w:eastAsia="zh-CN"/>
              </w:rPr>
              <w:t>1、免费报名Sign up for free</w:t>
            </w:r>
            <w:r>
              <w:rPr>
                <w:rFonts w:hint="eastAsia" w:ascii="Times New Roman" w:hAnsi="Times New Roman"/>
                <w:sz w:val="18"/>
                <w:szCs w:val="18"/>
                <w:lang w:eastAsia="zh-CN"/>
              </w:rPr>
              <w:t>.</w:t>
            </w:r>
            <w:r>
              <w:rPr>
                <w:rFonts w:ascii="Times New Roman" w:hAnsi="Times New Roman"/>
                <w:sz w:val="18"/>
                <w:szCs w:val="18"/>
                <w:lang w:eastAsia="zh-CN"/>
              </w:rPr>
              <w:t>；</w:t>
            </w:r>
          </w:p>
          <w:p>
            <w:pPr>
              <w:pStyle w:val="11"/>
              <w:spacing w:before="106"/>
              <w:ind w:left="104"/>
              <w:rPr>
                <w:rFonts w:ascii="Times New Roman" w:hAnsi="Times New Roman"/>
                <w:sz w:val="18"/>
                <w:szCs w:val="18"/>
                <w:lang w:eastAsia="zh-CN"/>
              </w:rPr>
            </w:pPr>
            <w:r>
              <w:rPr>
                <w:rFonts w:ascii="Times New Roman" w:hAnsi="Times New Roman"/>
                <w:sz w:val="18"/>
                <w:szCs w:val="18"/>
                <w:lang w:eastAsia="zh-CN"/>
              </w:rPr>
              <w:t>2、</w:t>
            </w:r>
            <w:bookmarkStart w:id="9" w:name="OLE_LINK9"/>
            <w:r>
              <w:rPr>
                <w:rFonts w:ascii="Times New Roman" w:hAnsi="Times New Roman"/>
                <w:sz w:val="18"/>
                <w:szCs w:val="18"/>
                <w:lang w:eastAsia="zh-CN"/>
              </w:rPr>
              <w:t>最终入围选料大会</w:t>
            </w:r>
            <w:r>
              <w:rPr>
                <w:rFonts w:hint="eastAsia" w:ascii="Times New Roman" w:hAnsi="Times New Roman"/>
                <w:sz w:val="18"/>
                <w:szCs w:val="18"/>
                <w:lang w:eastAsia="zh-CN"/>
              </w:rPr>
              <w:t>的企业</w:t>
            </w:r>
            <w:r>
              <w:rPr>
                <w:rFonts w:ascii="Times New Roman" w:hAnsi="Times New Roman"/>
                <w:sz w:val="18"/>
                <w:szCs w:val="18"/>
                <w:lang w:eastAsia="zh-CN"/>
              </w:rPr>
              <w:t>The final shortlisted enterprises of the procurement conference</w:t>
            </w:r>
          </w:p>
          <w:p>
            <w:pPr>
              <w:pStyle w:val="11"/>
              <w:spacing w:before="106"/>
              <w:ind w:left="104"/>
              <w:rPr>
                <w:rFonts w:ascii="Times New Roman" w:hAnsi="Times New Roman"/>
                <w:sz w:val="18"/>
                <w:szCs w:val="18"/>
                <w:lang w:eastAsia="zh-CN"/>
              </w:rPr>
            </w:pPr>
            <w:r>
              <w:rPr>
                <w:rFonts w:ascii="Arial" w:hAnsi="Arial" w:cs="Arial"/>
                <w:spacing w:val="-1"/>
                <w:sz w:val="18"/>
                <w:szCs w:val="18"/>
                <w:lang w:eastAsia="zh-CN"/>
              </w:rPr>
              <w:sym w:font="Wingdings" w:char="00A8"/>
            </w:r>
            <w:r>
              <w:rPr>
                <w:rFonts w:hint="eastAsia" w:ascii="Arial" w:hAnsi="Arial" w:cs="Arial"/>
                <w:spacing w:val="-1"/>
                <w:sz w:val="18"/>
                <w:szCs w:val="18"/>
                <w:lang w:eastAsia="zh-CN"/>
              </w:rPr>
              <w:t xml:space="preserve"> 有展位</w:t>
            </w:r>
            <w:r>
              <w:rPr>
                <w:rFonts w:ascii="Times New Roman" w:hAnsi="Times New Roman"/>
                <w:sz w:val="18"/>
                <w:szCs w:val="18"/>
                <w:lang w:eastAsia="zh-CN"/>
              </w:rPr>
              <w:t>Exhibitor</w:t>
            </w:r>
            <w:r>
              <w:rPr>
                <w:rFonts w:hint="eastAsia" w:ascii="Times New Roman" w:hAnsi="Times New Roman"/>
                <w:sz w:val="18"/>
                <w:szCs w:val="18"/>
                <w:lang w:eastAsia="zh-CN"/>
              </w:rPr>
              <w:t>（</w:t>
            </w:r>
            <w:r>
              <w:rPr>
                <w:rFonts w:ascii="Times New Roman" w:hAnsi="Times New Roman"/>
                <w:spacing w:val="-1"/>
                <w:sz w:val="18"/>
                <w:szCs w:val="18"/>
                <w:lang w:eastAsia="zh-CN"/>
              </w:rPr>
              <w:t>展位号Booth No.：</w:t>
            </w:r>
            <w:r>
              <w:rPr>
                <w:rFonts w:ascii="Times New Roman" w:hAnsi="Times New Roman"/>
                <w:sz w:val="18"/>
                <w:szCs w:val="18"/>
                <w:u w:val="single" w:color="000000"/>
                <w:lang w:eastAsia="zh-CN"/>
              </w:rPr>
              <w:t xml:space="preserve"> </w:t>
            </w:r>
            <w:r>
              <w:rPr>
                <w:rFonts w:hint="eastAsia" w:ascii="Times New Roman" w:hAnsi="Times New Roman"/>
                <w:sz w:val="18"/>
                <w:szCs w:val="18"/>
                <w:u w:val="single" w:color="000000"/>
                <w:lang w:eastAsia="zh-CN"/>
              </w:rPr>
              <w:t xml:space="preserve">      </w:t>
            </w:r>
            <w:r>
              <w:rPr>
                <w:rFonts w:hint="eastAsia" w:ascii="Times New Roman" w:hAnsi="Times New Roman"/>
                <w:sz w:val="18"/>
                <w:szCs w:val="18"/>
                <w:lang w:eastAsia="zh-CN"/>
              </w:rPr>
              <w:t xml:space="preserve"> ）； RMB15</w:t>
            </w:r>
            <w:r>
              <w:rPr>
                <w:rFonts w:ascii="Times New Roman" w:hAnsi="Times New Roman"/>
                <w:sz w:val="18"/>
                <w:szCs w:val="18"/>
                <w:lang w:eastAsia="zh-CN"/>
              </w:rPr>
              <w:t>00 元/家</w:t>
            </w:r>
            <w:r>
              <w:rPr>
                <w:rFonts w:hint="eastAsia" w:ascii="Times New Roman" w:hAnsi="Times New Roman"/>
                <w:sz w:val="18"/>
                <w:szCs w:val="18"/>
                <w:lang w:eastAsia="zh-CN"/>
              </w:rPr>
              <w:t>；</w:t>
            </w:r>
            <w:r>
              <w:rPr>
                <w:rFonts w:ascii="Times New Roman" w:hAnsi="Times New Roman"/>
                <w:sz w:val="18"/>
                <w:szCs w:val="18"/>
                <w:lang w:eastAsia="zh-CN"/>
              </w:rPr>
              <w:t></w:t>
            </w:r>
          </w:p>
          <w:p>
            <w:pPr>
              <w:pStyle w:val="11"/>
              <w:spacing w:before="106"/>
              <w:ind w:left="104"/>
              <w:rPr>
                <w:rFonts w:ascii="Times New Roman" w:hAnsi="Times New Roman"/>
                <w:sz w:val="18"/>
                <w:szCs w:val="18"/>
                <w:lang w:eastAsia="zh-CN"/>
              </w:rPr>
            </w:pPr>
            <w:r>
              <w:rPr>
                <w:rFonts w:hint="eastAsia" w:ascii="Times New Roman" w:hAnsi="Times New Roman"/>
                <w:spacing w:val="-119"/>
                <w:sz w:val="18"/>
                <w:szCs w:val="18"/>
                <w:lang w:eastAsia="zh-CN"/>
              </w:rPr>
              <w:t xml:space="preserve"> </w:t>
            </w:r>
            <w:r>
              <w:rPr>
                <w:rFonts w:ascii="Arial" w:hAnsi="Arial" w:cs="Arial"/>
                <w:spacing w:val="-1"/>
                <w:sz w:val="18"/>
                <w:szCs w:val="18"/>
                <w:lang w:eastAsia="zh-CN"/>
              </w:rPr>
              <w:sym w:font="Wingdings" w:char="00A8"/>
            </w:r>
            <w:r>
              <w:rPr>
                <w:rFonts w:hint="eastAsia" w:ascii="Arial" w:hAnsi="Arial" w:cs="Arial"/>
                <w:spacing w:val="-1"/>
                <w:sz w:val="18"/>
                <w:szCs w:val="18"/>
                <w:lang w:eastAsia="zh-CN"/>
              </w:rPr>
              <w:t xml:space="preserve"> 无展位</w:t>
            </w:r>
            <w:bookmarkEnd w:id="9"/>
            <w:r>
              <w:rPr>
                <w:rFonts w:ascii="Times New Roman" w:hAnsi="Times New Roman"/>
                <w:sz w:val="18"/>
                <w:szCs w:val="18"/>
                <w:lang w:eastAsia="zh-CN"/>
              </w:rPr>
              <w:t>Non-exhibitor</w:t>
            </w:r>
            <w:r>
              <w:rPr>
                <w:rFonts w:hint="eastAsia" w:ascii="Times New Roman" w:hAnsi="Times New Roman"/>
                <w:sz w:val="18"/>
                <w:szCs w:val="18"/>
                <w:lang w:eastAsia="zh-CN"/>
              </w:rPr>
              <w:t xml:space="preserve"> ；RMB3000元/家</w:t>
            </w:r>
          </w:p>
        </w:tc>
      </w:tr>
      <w:tr>
        <w:tblPrEx>
          <w:tblCellMar>
            <w:top w:w="0" w:type="dxa"/>
            <w:left w:w="0" w:type="dxa"/>
            <w:bottom w:w="0" w:type="dxa"/>
            <w:right w:w="0" w:type="dxa"/>
          </w:tblCellMar>
        </w:tblPrEx>
        <w:trPr>
          <w:trHeight w:val="706" w:hRule="exact"/>
          <w:jc w:val="center"/>
        </w:trPr>
        <w:tc>
          <w:tcPr>
            <w:tcW w:w="2114" w:type="dxa"/>
            <w:vMerge w:val="restart"/>
            <w:tcBorders>
              <w:top w:val="single" w:color="000000" w:sz="4" w:space="0"/>
              <w:left w:val="single" w:color="000000" w:sz="4" w:space="0"/>
              <w:right w:val="single" w:color="000000" w:sz="4" w:space="0"/>
            </w:tcBorders>
          </w:tcPr>
          <w:p>
            <w:pPr>
              <w:pStyle w:val="11"/>
              <w:rPr>
                <w:rFonts w:ascii="Times New Roman" w:hAnsi="Times New Roman"/>
                <w:b/>
                <w:bCs/>
                <w:sz w:val="18"/>
                <w:szCs w:val="18"/>
                <w:lang w:eastAsia="zh-CN"/>
              </w:rPr>
            </w:pPr>
          </w:p>
          <w:p>
            <w:pPr>
              <w:pStyle w:val="11"/>
              <w:spacing w:before="5"/>
              <w:rPr>
                <w:rFonts w:ascii="Times New Roman" w:hAnsi="Times New Roman"/>
                <w:b/>
                <w:bCs/>
                <w:sz w:val="18"/>
                <w:szCs w:val="18"/>
                <w:lang w:eastAsia="zh-CN"/>
              </w:rPr>
            </w:pPr>
          </w:p>
          <w:p>
            <w:pPr>
              <w:pStyle w:val="11"/>
              <w:jc w:val="center"/>
              <w:rPr>
                <w:rFonts w:ascii="Times New Roman" w:hAnsi="Times New Roman"/>
                <w:sz w:val="18"/>
                <w:szCs w:val="18"/>
              </w:rPr>
            </w:pPr>
            <w:r>
              <w:rPr>
                <w:rFonts w:ascii="Times New Roman" w:hAnsi="Times New Roman"/>
                <w:sz w:val="18"/>
                <w:szCs w:val="18"/>
              </w:rPr>
              <w:t>收款帐号</w:t>
            </w:r>
          </w:p>
          <w:p>
            <w:pPr>
              <w:pStyle w:val="11"/>
              <w:jc w:val="center"/>
              <w:rPr>
                <w:rFonts w:ascii="Times New Roman" w:hAnsi="Times New Roman"/>
                <w:sz w:val="18"/>
                <w:szCs w:val="18"/>
                <w:lang w:eastAsia="zh-CN"/>
              </w:rPr>
            </w:pPr>
            <w:r>
              <w:rPr>
                <w:rFonts w:ascii="Times New Roman" w:hAnsi="Times New Roman"/>
                <w:sz w:val="18"/>
                <w:szCs w:val="18"/>
                <w:lang w:eastAsia="zh-CN"/>
              </w:rPr>
              <w:t>Account Number</w:t>
            </w:r>
          </w:p>
        </w:tc>
        <w:tc>
          <w:tcPr>
            <w:tcW w:w="1515" w:type="dxa"/>
            <w:tcBorders>
              <w:top w:val="single" w:color="000000" w:sz="4" w:space="0"/>
              <w:left w:val="single" w:color="000000" w:sz="4" w:space="0"/>
              <w:bottom w:val="single" w:color="000000" w:sz="4" w:space="0"/>
              <w:right w:val="single" w:color="000000" w:sz="4" w:space="0"/>
            </w:tcBorders>
          </w:tcPr>
          <w:p>
            <w:pPr>
              <w:pStyle w:val="11"/>
              <w:spacing w:before="65"/>
              <w:ind w:right="2"/>
              <w:jc w:val="center"/>
              <w:rPr>
                <w:rFonts w:ascii="Times New Roman" w:hAnsi="Times New Roman"/>
                <w:sz w:val="18"/>
                <w:szCs w:val="18"/>
              </w:rPr>
            </w:pPr>
            <w:r>
              <w:rPr>
                <w:rFonts w:ascii="Times New Roman" w:hAnsi="Times New Roman"/>
                <w:sz w:val="18"/>
                <w:szCs w:val="18"/>
              </w:rPr>
              <w:t>户名</w:t>
            </w:r>
          </w:p>
          <w:p>
            <w:pPr>
              <w:pStyle w:val="11"/>
              <w:spacing w:before="65"/>
              <w:ind w:right="2"/>
              <w:jc w:val="center"/>
              <w:rPr>
                <w:rFonts w:ascii="Times New Roman" w:hAnsi="Times New Roman"/>
                <w:sz w:val="18"/>
                <w:szCs w:val="18"/>
                <w:lang w:eastAsia="zh-CN"/>
              </w:rPr>
            </w:pPr>
            <w:r>
              <w:rPr>
                <w:rFonts w:ascii="Times New Roman" w:hAnsi="Times New Roman"/>
                <w:sz w:val="18"/>
                <w:szCs w:val="18"/>
                <w:lang w:eastAsia="zh-CN"/>
              </w:rPr>
              <w:t>Account Name</w:t>
            </w:r>
          </w:p>
        </w:tc>
        <w:tc>
          <w:tcPr>
            <w:tcW w:w="5925" w:type="dxa"/>
            <w:gridSpan w:val="3"/>
            <w:tcBorders>
              <w:top w:val="single" w:color="000000" w:sz="4" w:space="0"/>
              <w:left w:val="single" w:color="000000" w:sz="4" w:space="0"/>
              <w:bottom w:val="single" w:color="000000" w:sz="4" w:space="0"/>
              <w:right w:val="single" w:color="000000" w:sz="4" w:space="0"/>
            </w:tcBorders>
          </w:tcPr>
          <w:p>
            <w:pPr>
              <w:pStyle w:val="11"/>
              <w:spacing w:before="65"/>
              <w:ind w:firstLine="180" w:firstLineChars="100"/>
              <w:rPr>
                <w:rFonts w:ascii="Times New Roman" w:hAnsi="Times New Roman"/>
                <w:sz w:val="18"/>
                <w:szCs w:val="18"/>
                <w:lang w:eastAsia="zh-CN"/>
              </w:rPr>
            </w:pPr>
            <w:r>
              <w:rPr>
                <w:rFonts w:ascii="Times New Roman" w:hAnsi="Times New Roman"/>
                <w:sz w:val="18"/>
                <w:szCs w:val="18"/>
                <w:lang w:eastAsia="zh-CN"/>
              </w:rPr>
              <w:t>中涂联合国际会展（广州）有限公司</w:t>
            </w:r>
          </w:p>
          <w:p>
            <w:pPr>
              <w:pStyle w:val="11"/>
              <w:spacing w:before="65"/>
              <w:ind w:left="210" w:leftChars="100"/>
              <w:rPr>
                <w:rFonts w:ascii="Times New Roman" w:hAnsi="Times New Roman"/>
                <w:sz w:val="18"/>
                <w:szCs w:val="18"/>
                <w:lang w:eastAsia="zh-CN"/>
              </w:rPr>
            </w:pPr>
            <w:r>
              <w:rPr>
                <w:rFonts w:ascii="Times New Roman" w:hAnsi="Times New Roman"/>
                <w:sz w:val="18"/>
                <w:szCs w:val="18"/>
                <w:lang w:eastAsia="zh-CN"/>
              </w:rPr>
              <w:t>China Coating Alliance International Exhibition (Guangdong) Co., Ltd.</w:t>
            </w:r>
          </w:p>
        </w:tc>
      </w:tr>
      <w:tr>
        <w:tblPrEx>
          <w:tblCellMar>
            <w:top w:w="0" w:type="dxa"/>
            <w:left w:w="0" w:type="dxa"/>
            <w:bottom w:w="0" w:type="dxa"/>
            <w:right w:w="0" w:type="dxa"/>
          </w:tblCellMar>
        </w:tblPrEx>
        <w:trPr>
          <w:trHeight w:val="699" w:hRule="exact"/>
          <w:jc w:val="center"/>
        </w:trPr>
        <w:tc>
          <w:tcPr>
            <w:tcW w:w="2114" w:type="dxa"/>
            <w:vMerge w:val="continue"/>
            <w:tcBorders>
              <w:left w:val="single" w:color="000000" w:sz="4" w:space="0"/>
              <w:right w:val="single" w:color="000000" w:sz="4" w:space="0"/>
            </w:tcBorders>
          </w:tcPr>
          <w:p>
            <w:pPr>
              <w:rPr>
                <w:sz w:val="18"/>
                <w:szCs w:val="18"/>
              </w:rPr>
            </w:pPr>
          </w:p>
        </w:tc>
        <w:tc>
          <w:tcPr>
            <w:tcW w:w="1515" w:type="dxa"/>
            <w:tcBorders>
              <w:top w:val="single" w:color="000000" w:sz="4" w:space="0"/>
              <w:left w:val="single" w:color="000000" w:sz="4" w:space="0"/>
              <w:bottom w:val="single" w:color="000000" w:sz="4" w:space="0"/>
              <w:right w:val="single" w:color="000000" w:sz="4" w:space="0"/>
            </w:tcBorders>
          </w:tcPr>
          <w:p>
            <w:pPr>
              <w:pStyle w:val="11"/>
              <w:spacing w:before="63"/>
              <w:jc w:val="center"/>
              <w:rPr>
                <w:rFonts w:ascii="Times New Roman" w:hAnsi="Times New Roman"/>
                <w:sz w:val="18"/>
                <w:szCs w:val="18"/>
              </w:rPr>
            </w:pPr>
            <w:bookmarkStart w:id="10" w:name="OLE_LINK10"/>
            <w:r>
              <w:rPr>
                <w:rFonts w:ascii="Times New Roman" w:hAnsi="Times New Roman"/>
                <w:sz w:val="18"/>
                <w:szCs w:val="18"/>
              </w:rPr>
              <w:t>开户行</w:t>
            </w:r>
            <w:bookmarkEnd w:id="10"/>
          </w:p>
          <w:p>
            <w:pPr>
              <w:pStyle w:val="11"/>
              <w:spacing w:before="63"/>
              <w:jc w:val="center"/>
              <w:rPr>
                <w:rFonts w:ascii="Times New Roman" w:hAnsi="Times New Roman"/>
                <w:sz w:val="18"/>
                <w:szCs w:val="18"/>
                <w:lang w:eastAsia="zh-CN"/>
              </w:rPr>
            </w:pPr>
            <w:r>
              <w:rPr>
                <w:rFonts w:ascii="Times New Roman" w:hAnsi="Times New Roman"/>
                <w:sz w:val="18"/>
                <w:szCs w:val="18"/>
                <w:lang w:eastAsia="zh-CN"/>
              </w:rPr>
              <w:t>Bank Name</w:t>
            </w:r>
          </w:p>
        </w:tc>
        <w:tc>
          <w:tcPr>
            <w:tcW w:w="5925" w:type="dxa"/>
            <w:gridSpan w:val="3"/>
            <w:tcBorders>
              <w:top w:val="single" w:color="000000" w:sz="4" w:space="0"/>
              <w:left w:val="single" w:color="000000" w:sz="4" w:space="0"/>
              <w:bottom w:val="single" w:color="000000" w:sz="4" w:space="0"/>
              <w:right w:val="single" w:color="000000" w:sz="4" w:space="0"/>
            </w:tcBorders>
          </w:tcPr>
          <w:p>
            <w:pPr>
              <w:pStyle w:val="11"/>
              <w:spacing w:before="63"/>
              <w:ind w:left="231"/>
              <w:rPr>
                <w:rFonts w:ascii="Times New Roman" w:hAnsi="Times New Roman"/>
                <w:sz w:val="18"/>
                <w:szCs w:val="18"/>
                <w:lang w:eastAsia="zh-CN"/>
              </w:rPr>
            </w:pPr>
            <w:bookmarkStart w:id="11" w:name="OLE_LINK11"/>
            <w:r>
              <w:rPr>
                <w:rFonts w:ascii="Times New Roman" w:hAnsi="Times New Roman"/>
                <w:sz w:val="18"/>
                <w:szCs w:val="18"/>
                <w:lang w:eastAsia="zh-CN"/>
              </w:rPr>
              <w:t>广发银行股份有限公司广州五羊新城支行</w:t>
            </w:r>
            <w:bookmarkEnd w:id="11"/>
          </w:p>
          <w:p>
            <w:pPr>
              <w:pStyle w:val="11"/>
              <w:spacing w:before="63"/>
              <w:ind w:left="231"/>
              <w:rPr>
                <w:rFonts w:ascii="Times New Roman" w:hAnsi="Times New Roman"/>
                <w:sz w:val="18"/>
                <w:szCs w:val="18"/>
                <w:lang w:eastAsia="zh-CN"/>
              </w:rPr>
            </w:pPr>
            <w:r>
              <w:rPr>
                <w:rFonts w:ascii="Times New Roman" w:hAnsi="Times New Roman"/>
                <w:sz w:val="18"/>
                <w:szCs w:val="18"/>
                <w:lang w:eastAsia="zh-CN"/>
              </w:rPr>
              <w:t>China Guangfa Bank Co., Ltd Guangzhou Wuyang New Town Sub Branch</w:t>
            </w:r>
          </w:p>
        </w:tc>
      </w:tr>
      <w:tr>
        <w:tblPrEx>
          <w:tblCellMar>
            <w:top w:w="0" w:type="dxa"/>
            <w:left w:w="0" w:type="dxa"/>
            <w:bottom w:w="0" w:type="dxa"/>
            <w:right w:w="0" w:type="dxa"/>
          </w:tblCellMar>
        </w:tblPrEx>
        <w:trPr>
          <w:trHeight w:val="780" w:hRule="exact"/>
          <w:jc w:val="center"/>
        </w:trPr>
        <w:tc>
          <w:tcPr>
            <w:tcW w:w="2114" w:type="dxa"/>
            <w:vMerge w:val="continue"/>
            <w:tcBorders>
              <w:left w:val="single" w:color="000000" w:sz="4" w:space="0"/>
              <w:bottom w:val="single" w:color="000000" w:sz="4" w:space="0"/>
              <w:right w:val="single" w:color="000000" w:sz="4" w:space="0"/>
            </w:tcBorders>
          </w:tcPr>
          <w:p>
            <w:pPr>
              <w:rPr>
                <w:sz w:val="18"/>
                <w:szCs w:val="18"/>
              </w:rPr>
            </w:pPr>
          </w:p>
        </w:tc>
        <w:tc>
          <w:tcPr>
            <w:tcW w:w="1515" w:type="dxa"/>
            <w:tcBorders>
              <w:top w:val="single" w:color="000000" w:sz="4" w:space="0"/>
              <w:left w:val="single" w:color="000000" w:sz="4" w:space="0"/>
              <w:bottom w:val="single" w:color="000000" w:sz="4" w:space="0"/>
              <w:right w:val="single" w:color="000000" w:sz="4" w:space="0"/>
            </w:tcBorders>
          </w:tcPr>
          <w:p>
            <w:pPr>
              <w:pStyle w:val="11"/>
              <w:spacing w:before="64"/>
              <w:ind w:right="2"/>
              <w:jc w:val="center"/>
              <w:rPr>
                <w:rFonts w:ascii="Times New Roman" w:hAnsi="Times New Roman"/>
                <w:sz w:val="18"/>
                <w:szCs w:val="18"/>
              </w:rPr>
            </w:pPr>
            <w:r>
              <w:rPr>
                <w:rFonts w:ascii="Times New Roman" w:hAnsi="Times New Roman"/>
                <w:sz w:val="18"/>
                <w:szCs w:val="18"/>
              </w:rPr>
              <w:t>账号</w:t>
            </w:r>
          </w:p>
          <w:p>
            <w:pPr>
              <w:pStyle w:val="11"/>
              <w:spacing w:before="64"/>
              <w:ind w:right="2"/>
              <w:jc w:val="center"/>
              <w:rPr>
                <w:rFonts w:ascii="Times New Roman" w:hAnsi="Times New Roman"/>
                <w:sz w:val="18"/>
                <w:szCs w:val="18"/>
              </w:rPr>
            </w:pPr>
            <w:r>
              <w:rPr>
                <w:rFonts w:ascii="Times New Roman" w:hAnsi="Times New Roman"/>
                <w:sz w:val="18"/>
                <w:szCs w:val="18"/>
                <w:lang w:eastAsia="zh-CN"/>
              </w:rPr>
              <w:t>Account Number</w:t>
            </w:r>
          </w:p>
        </w:tc>
        <w:tc>
          <w:tcPr>
            <w:tcW w:w="5925" w:type="dxa"/>
            <w:gridSpan w:val="3"/>
            <w:tcBorders>
              <w:top w:val="single" w:color="000000" w:sz="4" w:space="0"/>
              <w:left w:val="single" w:color="000000" w:sz="4" w:space="0"/>
              <w:bottom w:val="single" w:color="000000" w:sz="4" w:space="0"/>
              <w:right w:val="single" w:color="000000" w:sz="4" w:space="0"/>
            </w:tcBorders>
          </w:tcPr>
          <w:p>
            <w:pPr>
              <w:pStyle w:val="11"/>
              <w:spacing w:before="1"/>
              <w:ind w:left="943"/>
              <w:rPr>
                <w:rFonts w:ascii="Times New Roman" w:hAnsi="Times New Roman"/>
                <w:b/>
                <w:sz w:val="18"/>
                <w:szCs w:val="18"/>
              </w:rPr>
            </w:pPr>
          </w:p>
          <w:p>
            <w:pPr>
              <w:pStyle w:val="11"/>
              <w:spacing w:before="1"/>
              <w:ind w:left="943"/>
              <w:rPr>
                <w:rFonts w:ascii="Times New Roman" w:hAnsi="Times New Roman"/>
                <w:sz w:val="18"/>
                <w:szCs w:val="18"/>
              </w:rPr>
            </w:pPr>
            <w:r>
              <w:rPr>
                <w:rFonts w:ascii="Times New Roman" w:hAnsi="Times New Roman"/>
                <w:b/>
                <w:sz w:val="18"/>
                <w:szCs w:val="18"/>
              </w:rPr>
              <w:t>95508 8022 2272</w:t>
            </w:r>
            <w:r>
              <w:rPr>
                <w:rFonts w:ascii="Times New Roman" w:hAnsi="Times New Roman"/>
                <w:b/>
                <w:spacing w:val="-17"/>
                <w:sz w:val="18"/>
                <w:szCs w:val="18"/>
              </w:rPr>
              <w:t xml:space="preserve"> </w:t>
            </w:r>
            <w:r>
              <w:rPr>
                <w:rFonts w:ascii="Times New Roman" w:hAnsi="Times New Roman"/>
                <w:b/>
                <w:sz w:val="18"/>
                <w:szCs w:val="18"/>
              </w:rPr>
              <w:t>500118</w:t>
            </w:r>
          </w:p>
        </w:tc>
      </w:tr>
      <w:tr>
        <w:tblPrEx>
          <w:tblCellMar>
            <w:top w:w="0" w:type="dxa"/>
            <w:left w:w="0" w:type="dxa"/>
            <w:bottom w:w="0" w:type="dxa"/>
            <w:right w:w="0" w:type="dxa"/>
          </w:tblCellMar>
        </w:tblPrEx>
        <w:trPr>
          <w:trHeight w:val="1414" w:hRule="exact"/>
          <w:jc w:val="center"/>
        </w:trPr>
        <w:tc>
          <w:tcPr>
            <w:tcW w:w="2114" w:type="dxa"/>
            <w:tcBorders>
              <w:top w:val="single" w:color="000000" w:sz="4" w:space="0"/>
              <w:left w:val="single" w:color="000000" w:sz="4" w:space="0"/>
              <w:bottom w:val="single" w:color="000000" w:sz="4" w:space="0"/>
              <w:right w:val="single" w:color="000000" w:sz="4" w:space="0"/>
            </w:tcBorders>
          </w:tcPr>
          <w:p>
            <w:pPr>
              <w:pStyle w:val="11"/>
              <w:rPr>
                <w:rFonts w:ascii="Times New Roman" w:hAnsi="Times New Roman"/>
                <w:b/>
                <w:bCs/>
                <w:sz w:val="18"/>
                <w:szCs w:val="18"/>
              </w:rPr>
            </w:pPr>
          </w:p>
          <w:p>
            <w:pPr>
              <w:pStyle w:val="11"/>
              <w:spacing w:before="12"/>
              <w:rPr>
                <w:rFonts w:ascii="Times New Roman" w:hAnsi="Times New Roman"/>
                <w:b/>
                <w:bCs/>
                <w:sz w:val="18"/>
                <w:szCs w:val="18"/>
              </w:rPr>
            </w:pPr>
          </w:p>
          <w:p>
            <w:pPr>
              <w:pStyle w:val="11"/>
              <w:jc w:val="center"/>
              <w:rPr>
                <w:rFonts w:ascii="Times New Roman" w:hAnsi="Times New Roman"/>
                <w:sz w:val="18"/>
                <w:szCs w:val="18"/>
              </w:rPr>
            </w:pPr>
            <w:r>
              <w:rPr>
                <w:rFonts w:ascii="Times New Roman" w:hAnsi="Times New Roman"/>
                <w:sz w:val="18"/>
                <w:szCs w:val="18"/>
              </w:rPr>
              <w:t>联系方式</w:t>
            </w:r>
          </w:p>
          <w:p>
            <w:pPr>
              <w:pStyle w:val="11"/>
              <w:jc w:val="center"/>
              <w:rPr>
                <w:rFonts w:ascii="Times New Roman" w:hAnsi="Times New Roman"/>
                <w:sz w:val="18"/>
                <w:szCs w:val="18"/>
                <w:lang w:eastAsia="zh-CN"/>
              </w:rPr>
            </w:pPr>
            <w:r>
              <w:rPr>
                <w:rFonts w:ascii="Times New Roman" w:hAnsi="Times New Roman"/>
                <w:sz w:val="18"/>
                <w:szCs w:val="18"/>
                <w:lang w:eastAsia="zh-CN"/>
              </w:rPr>
              <w:t>Contact</w:t>
            </w:r>
          </w:p>
        </w:tc>
        <w:tc>
          <w:tcPr>
            <w:tcW w:w="7440" w:type="dxa"/>
            <w:gridSpan w:val="4"/>
            <w:tcBorders>
              <w:top w:val="single" w:color="000000" w:sz="4" w:space="0"/>
              <w:left w:val="single" w:color="000000" w:sz="4" w:space="0"/>
              <w:bottom w:val="single" w:color="000000" w:sz="4" w:space="0"/>
              <w:right w:val="single" w:color="000000" w:sz="4" w:space="0"/>
            </w:tcBorders>
          </w:tcPr>
          <w:p>
            <w:pPr>
              <w:pStyle w:val="11"/>
              <w:spacing w:before="33"/>
              <w:ind w:left="104"/>
              <w:rPr>
                <w:rFonts w:ascii="Times New Roman" w:hAnsi="Times New Roman"/>
                <w:sz w:val="18"/>
                <w:szCs w:val="18"/>
                <w:lang w:eastAsia="zh-CN"/>
              </w:rPr>
            </w:pPr>
            <w:r>
              <w:rPr>
                <w:rFonts w:ascii="Times New Roman" w:hAnsi="Times New Roman"/>
                <w:sz w:val="18"/>
                <w:szCs w:val="18"/>
                <w:lang w:eastAsia="zh-CN"/>
              </w:rPr>
              <w:t>2022广州国际选料大会组委会：2022 Guangzhou International Coating Raw Material Procurement Conference Organizing Committee</w:t>
            </w:r>
          </w:p>
          <w:p>
            <w:pPr>
              <w:pStyle w:val="11"/>
              <w:spacing w:before="33"/>
              <w:ind w:left="104"/>
              <w:rPr>
                <w:rFonts w:ascii="Times New Roman" w:hAnsi="Times New Roman"/>
                <w:sz w:val="18"/>
                <w:szCs w:val="18"/>
                <w:lang w:eastAsia="zh-CN"/>
              </w:rPr>
            </w:pPr>
            <w:r>
              <w:rPr>
                <w:rFonts w:hint="eastAsia" w:ascii="Times New Roman" w:hAnsi="Times New Roman"/>
                <w:sz w:val="18"/>
                <w:szCs w:val="18"/>
                <w:lang w:eastAsia="zh-CN"/>
              </w:rPr>
              <w:t>陆</w:t>
            </w:r>
            <w:r>
              <w:rPr>
                <w:rFonts w:ascii="Times New Roman" w:hAnsi="Times New Roman"/>
                <w:sz w:val="18"/>
                <w:szCs w:val="18"/>
                <w:lang w:eastAsia="zh-CN"/>
              </w:rPr>
              <w:t xml:space="preserve">小姐Ms. </w:t>
            </w:r>
            <w:r>
              <w:rPr>
                <w:rFonts w:hint="eastAsia" w:ascii="Times New Roman" w:hAnsi="Times New Roman"/>
                <w:sz w:val="18"/>
                <w:szCs w:val="18"/>
                <w:lang w:eastAsia="zh-CN"/>
              </w:rPr>
              <w:t>Lu</w:t>
            </w:r>
            <w:r>
              <w:rPr>
                <w:rFonts w:ascii="Times New Roman" w:hAnsi="Times New Roman"/>
                <w:sz w:val="18"/>
                <w:szCs w:val="18"/>
                <w:lang w:eastAsia="zh-CN"/>
              </w:rPr>
              <w:t>：020-29193588/3589；18122398031</w:t>
            </w:r>
          </w:p>
          <w:p>
            <w:pPr>
              <w:pStyle w:val="11"/>
              <w:spacing w:before="33"/>
              <w:ind w:left="104"/>
              <w:rPr>
                <w:rFonts w:ascii="Times New Roman" w:hAnsi="Times New Roman"/>
                <w:sz w:val="18"/>
                <w:szCs w:val="18"/>
                <w:lang w:eastAsia="zh-CN"/>
              </w:rPr>
            </w:pPr>
            <w:r>
              <w:rPr>
                <w:rFonts w:ascii="Times New Roman" w:hAnsi="Times New Roman"/>
                <w:sz w:val="18"/>
                <w:szCs w:val="18"/>
                <w:lang w:eastAsia="zh-CN"/>
              </w:rPr>
              <w:t xml:space="preserve">邮箱Email： </w:t>
            </w:r>
            <w:r>
              <w:fldChar w:fldCharType="begin"/>
            </w:r>
            <w:r>
              <w:instrText xml:space="preserve"> HYPERLINK "mailto:coatexpo03@126.com" \h </w:instrText>
            </w:r>
            <w:r>
              <w:fldChar w:fldCharType="separate"/>
            </w:r>
            <w:r>
              <w:rPr>
                <w:rFonts w:ascii="Times New Roman" w:hAnsi="Times New Roman"/>
                <w:sz w:val="18"/>
                <w:szCs w:val="18"/>
                <w:lang w:eastAsia="zh-CN"/>
              </w:rPr>
              <w:t>coatexpo03@126.com</w:t>
            </w:r>
            <w:r>
              <w:rPr>
                <w:rFonts w:ascii="Times New Roman" w:hAnsi="Times New Roman"/>
                <w:sz w:val="18"/>
                <w:szCs w:val="18"/>
                <w:lang w:eastAsia="zh-CN"/>
              </w:rPr>
              <w:fldChar w:fldCharType="end"/>
            </w:r>
          </w:p>
        </w:tc>
      </w:tr>
    </w:tbl>
    <w:p>
      <w:pPr>
        <w:spacing w:line="560" w:lineRule="exact"/>
        <w:jc w:val="both"/>
        <w:rPr>
          <w:rFonts w:ascii="宋体" w:hAnsi="宋体"/>
          <w:sz w:val="24"/>
          <w:szCs w:val="24"/>
        </w:rPr>
        <w:sectPr>
          <w:pgSz w:w="11906" w:h="16838"/>
          <w:pgMar w:top="1440" w:right="1800" w:bottom="1440" w:left="2143" w:header="851" w:footer="992" w:gutter="0"/>
          <w:cols w:space="720" w:num="1"/>
          <w:docGrid w:type="lines" w:linePitch="312" w:charSpace="0"/>
        </w:sectPr>
      </w:pPr>
    </w:p>
    <w:p>
      <w:pPr>
        <w:spacing w:line="300" w:lineRule="exact"/>
        <w:jc w:val="left"/>
        <w:rPr>
          <w:rFonts w:ascii="仿宋" w:hAnsi="仿宋" w:eastAsia="仿宋" w:cs="仿宋"/>
          <w:color w:val="333333"/>
          <w:sz w:val="24"/>
          <w:szCs w:val="24"/>
        </w:rPr>
      </w:pPr>
    </w:p>
    <w:sectPr>
      <w:type w:val="continuous"/>
      <w:pgSz w:w="11906" w:h="16838"/>
      <w:pgMar w:top="1440" w:right="1800" w:bottom="1440"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1E6C6"/>
    <w:multiLevelType w:val="singleLevel"/>
    <w:tmpl w:val="8B71E6C6"/>
    <w:lvl w:ilvl="0" w:tentative="0">
      <w:start w:val="2"/>
      <w:numFmt w:val="chineseCounting"/>
      <w:suff w:val="nothing"/>
      <w:lvlText w:val="（%1）"/>
      <w:lvlJc w:val="left"/>
      <w:rPr>
        <w:rFonts w:hint="eastAsia"/>
      </w:rPr>
    </w:lvl>
  </w:abstractNum>
  <w:abstractNum w:abstractNumId="1">
    <w:nsid w:val="B7752BB7"/>
    <w:multiLevelType w:val="singleLevel"/>
    <w:tmpl w:val="B7752BB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jg4YzNjNGRmNGJhYWQ4YjU5MjlkYjNkNzk0NjIifQ=="/>
  </w:docVars>
  <w:rsids>
    <w:rsidRoot w:val="00172A27"/>
    <w:rsid w:val="00047ECE"/>
    <w:rsid w:val="000A41D0"/>
    <w:rsid w:val="0011459F"/>
    <w:rsid w:val="00142901"/>
    <w:rsid w:val="00172A27"/>
    <w:rsid w:val="001F32E5"/>
    <w:rsid w:val="00261BB3"/>
    <w:rsid w:val="002E1666"/>
    <w:rsid w:val="00355E66"/>
    <w:rsid w:val="00557CAE"/>
    <w:rsid w:val="00563E93"/>
    <w:rsid w:val="005E261E"/>
    <w:rsid w:val="00626E72"/>
    <w:rsid w:val="00675293"/>
    <w:rsid w:val="00756302"/>
    <w:rsid w:val="00801099"/>
    <w:rsid w:val="00917639"/>
    <w:rsid w:val="00946D61"/>
    <w:rsid w:val="009F6188"/>
    <w:rsid w:val="00A40D76"/>
    <w:rsid w:val="00B17AA9"/>
    <w:rsid w:val="00BC4011"/>
    <w:rsid w:val="00BC465F"/>
    <w:rsid w:val="00C1308A"/>
    <w:rsid w:val="00C146D9"/>
    <w:rsid w:val="00C52F6B"/>
    <w:rsid w:val="00CB06ED"/>
    <w:rsid w:val="00D0730E"/>
    <w:rsid w:val="00D618C6"/>
    <w:rsid w:val="00D63E6A"/>
    <w:rsid w:val="00DE401B"/>
    <w:rsid w:val="00DF3F72"/>
    <w:rsid w:val="00EF4067"/>
    <w:rsid w:val="01465245"/>
    <w:rsid w:val="01AF6607"/>
    <w:rsid w:val="02714395"/>
    <w:rsid w:val="03EE5E9B"/>
    <w:rsid w:val="049F0CC0"/>
    <w:rsid w:val="0690207B"/>
    <w:rsid w:val="07B54D24"/>
    <w:rsid w:val="08A001E0"/>
    <w:rsid w:val="08B5612D"/>
    <w:rsid w:val="09D97922"/>
    <w:rsid w:val="0A3627F5"/>
    <w:rsid w:val="0B836F81"/>
    <w:rsid w:val="0C3E7D43"/>
    <w:rsid w:val="0DD95AA4"/>
    <w:rsid w:val="0F7744B0"/>
    <w:rsid w:val="0FF26B15"/>
    <w:rsid w:val="101513C0"/>
    <w:rsid w:val="114615EC"/>
    <w:rsid w:val="11BC7C34"/>
    <w:rsid w:val="125A1017"/>
    <w:rsid w:val="141334FE"/>
    <w:rsid w:val="16E43DE5"/>
    <w:rsid w:val="17C500C0"/>
    <w:rsid w:val="198D05A2"/>
    <w:rsid w:val="1B5C3C94"/>
    <w:rsid w:val="1C8B6A7E"/>
    <w:rsid w:val="1D091C73"/>
    <w:rsid w:val="1D4574F8"/>
    <w:rsid w:val="23BE6A3C"/>
    <w:rsid w:val="24946AE1"/>
    <w:rsid w:val="24A07E33"/>
    <w:rsid w:val="262B3308"/>
    <w:rsid w:val="269D3A93"/>
    <w:rsid w:val="279B1AE9"/>
    <w:rsid w:val="27C923FA"/>
    <w:rsid w:val="28E079FB"/>
    <w:rsid w:val="29171DC8"/>
    <w:rsid w:val="2920604A"/>
    <w:rsid w:val="298467CD"/>
    <w:rsid w:val="2B254A2C"/>
    <w:rsid w:val="2BEA293F"/>
    <w:rsid w:val="2D17191C"/>
    <w:rsid w:val="2DBB4593"/>
    <w:rsid w:val="2F696108"/>
    <w:rsid w:val="2FD64419"/>
    <w:rsid w:val="304C3FCF"/>
    <w:rsid w:val="31F02AE2"/>
    <w:rsid w:val="332F4C68"/>
    <w:rsid w:val="34310C5F"/>
    <w:rsid w:val="344B4F9D"/>
    <w:rsid w:val="35A47D02"/>
    <w:rsid w:val="3752423F"/>
    <w:rsid w:val="379C5036"/>
    <w:rsid w:val="386D0303"/>
    <w:rsid w:val="38A93CC9"/>
    <w:rsid w:val="38EF0234"/>
    <w:rsid w:val="3B764CA5"/>
    <w:rsid w:val="3B906387"/>
    <w:rsid w:val="3BFD6AD5"/>
    <w:rsid w:val="3D9B14B7"/>
    <w:rsid w:val="3DE73182"/>
    <w:rsid w:val="419216A7"/>
    <w:rsid w:val="45807587"/>
    <w:rsid w:val="45DA769B"/>
    <w:rsid w:val="47C14A44"/>
    <w:rsid w:val="4A7114A2"/>
    <w:rsid w:val="4A8D6D58"/>
    <w:rsid w:val="4AD84039"/>
    <w:rsid w:val="4B757304"/>
    <w:rsid w:val="4BAC6C64"/>
    <w:rsid w:val="4D124972"/>
    <w:rsid w:val="4DB11960"/>
    <w:rsid w:val="4EAE3163"/>
    <w:rsid w:val="4F0E08D8"/>
    <w:rsid w:val="4FBE6B2F"/>
    <w:rsid w:val="4FDA55C8"/>
    <w:rsid w:val="50BC3FFA"/>
    <w:rsid w:val="52F2389C"/>
    <w:rsid w:val="531808AF"/>
    <w:rsid w:val="5397636A"/>
    <w:rsid w:val="53E12A4D"/>
    <w:rsid w:val="54424AD4"/>
    <w:rsid w:val="54600933"/>
    <w:rsid w:val="54990575"/>
    <w:rsid w:val="552868A1"/>
    <w:rsid w:val="552D6F21"/>
    <w:rsid w:val="55F01AD2"/>
    <w:rsid w:val="5A150453"/>
    <w:rsid w:val="5C2B2EC3"/>
    <w:rsid w:val="5C944EB5"/>
    <w:rsid w:val="5F7135F7"/>
    <w:rsid w:val="5F870323"/>
    <w:rsid w:val="5FF96749"/>
    <w:rsid w:val="603E2332"/>
    <w:rsid w:val="60961499"/>
    <w:rsid w:val="62ED712F"/>
    <w:rsid w:val="63C150AD"/>
    <w:rsid w:val="63DD0CDE"/>
    <w:rsid w:val="657829F8"/>
    <w:rsid w:val="65B57986"/>
    <w:rsid w:val="65D50199"/>
    <w:rsid w:val="66CF080E"/>
    <w:rsid w:val="66D72856"/>
    <w:rsid w:val="67092284"/>
    <w:rsid w:val="68674281"/>
    <w:rsid w:val="6916405C"/>
    <w:rsid w:val="6921265A"/>
    <w:rsid w:val="6C711CE5"/>
    <w:rsid w:val="6C8D62EF"/>
    <w:rsid w:val="6D350A7A"/>
    <w:rsid w:val="6EA5373A"/>
    <w:rsid w:val="6FB0799F"/>
    <w:rsid w:val="701D391C"/>
    <w:rsid w:val="732F049A"/>
    <w:rsid w:val="74843534"/>
    <w:rsid w:val="75C83354"/>
    <w:rsid w:val="771D19BF"/>
    <w:rsid w:val="784F209D"/>
    <w:rsid w:val="787B76D0"/>
    <w:rsid w:val="78807DCB"/>
    <w:rsid w:val="799F129D"/>
    <w:rsid w:val="7A34130C"/>
    <w:rsid w:val="7AF20495"/>
    <w:rsid w:val="7B530654"/>
    <w:rsid w:val="7B863143"/>
    <w:rsid w:val="7BB6367B"/>
    <w:rsid w:val="7BB9115F"/>
    <w:rsid w:val="7D391C2A"/>
    <w:rsid w:val="7DD91FFA"/>
    <w:rsid w:val="7E555136"/>
    <w:rsid w:val="7E665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rPr>
  </w:style>
  <w:style w:type="character" w:styleId="9">
    <w:name w:val="Emphasis"/>
    <w:basedOn w:val="7"/>
    <w:qFormat/>
    <w:uiPriority w:val="20"/>
    <w:rPr>
      <w:i/>
    </w:rPr>
  </w:style>
  <w:style w:type="character" w:styleId="10">
    <w:name w:val="Hyperlink"/>
    <w:unhideWhenUsed/>
    <w:qFormat/>
    <w:uiPriority w:val="99"/>
    <w:rPr>
      <w:color w:val="0000FF"/>
      <w:u w:val="single"/>
    </w:rPr>
  </w:style>
  <w:style w:type="paragraph" w:customStyle="1" w:styleId="11">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2291</Words>
  <Characters>3162</Characters>
  <Lines>32</Lines>
  <Paragraphs>9</Paragraphs>
  <TotalTime>11</TotalTime>
  <ScaleCrop>false</ScaleCrop>
  <LinksUpToDate>false</LinksUpToDate>
  <CharactersWithSpaces>3317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2022-03-15T08:05:00Z</dcterms:created>
  <dc:creator>Administrator</dc:creator>
  <cp:lastModifiedBy>小李子</cp:lastModifiedBy>
  <cp:lastPrinted>2022-07-21T02:53:00Z</cp:lastPrinted>
  <dcterms:modified xsi:type="dcterms:W3CDTF">2022-09-20T08:39:39Z</dcterms:modified>
  <dc:title>1、2021国际涂料原料（含设备）选料大会（以下简称“选料大会”）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7FC7011B53E24D949A9069A075765019</vt:lpwstr>
  </property>
</Properties>
</file>