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-684530</wp:posOffset>
            </wp:positionV>
            <wp:extent cx="7538085" cy="10662920"/>
            <wp:effectExtent l="0" t="0" r="5715" b="508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tabs>
          <w:tab w:val="left" w:pos="4303"/>
        </w:tabs>
      </w:pPr>
      <w:r>
        <w:tab/>
      </w:r>
    </w:p>
    <w:p>
      <w:pPr>
        <w:tabs>
          <w:tab w:val="left" w:pos="4303"/>
        </w:tabs>
      </w:pPr>
    </w:p>
    <w:p>
      <w:pPr>
        <w:tabs>
          <w:tab w:val="left" w:pos="4303"/>
        </w:tabs>
        <w:rPr>
          <w:rFonts w:hint="eastAsia"/>
        </w:rPr>
      </w:pPr>
    </w:p>
    <w:p>
      <w:pPr>
        <w:tabs>
          <w:tab w:val="left" w:pos="4303"/>
        </w:tabs>
      </w:pPr>
    </w:p>
    <w:p>
      <w:pPr>
        <w:tabs>
          <w:tab w:val="left" w:pos="4303"/>
        </w:tabs>
      </w:pPr>
    </w:p>
    <w:p>
      <w:pPr>
        <w:spacing w:line="600" w:lineRule="auto"/>
        <w:jc w:val="center"/>
        <w:rPr>
          <w:rFonts w:ascii="黑体" w:hAnsi="黑体" w:eastAsia="黑体"/>
          <w:b/>
          <w:bCs/>
          <w:color w:val="000000" w:themeColor="text1"/>
          <w:kern w:val="24"/>
          <w:sz w:val="48"/>
          <w:szCs w:val="48"/>
          <w14:textFill>
            <w14:solidFill>
              <w14:schemeClr w14:val="tx1"/>
            </w14:solidFill>
          </w14:textFill>
        </w:rPr>
      </w:pPr>
      <w:bookmarkStart w:id="0" w:name="_Hlk10562584"/>
      <w:bookmarkStart w:id="1" w:name="_Hlk10562583"/>
      <w:r>
        <w:rPr>
          <w:rFonts w:hint="eastAsia" w:ascii="黑体" w:hAnsi="黑体" w:eastAsia="黑体"/>
          <w:b/>
          <w:bCs/>
          <w:color w:val="000000" w:themeColor="text1"/>
          <w:kern w:val="24"/>
          <w:sz w:val="48"/>
          <w:szCs w:val="48"/>
          <w14:textFill>
            <w14:solidFill>
              <w14:schemeClr w14:val="tx1"/>
            </w14:solidFill>
          </w14:textFill>
        </w:rPr>
        <w:t>第三届（2019）交通工程与运输系统</w:t>
      </w:r>
    </w:p>
    <w:p>
      <w:pPr>
        <w:spacing w:line="600" w:lineRule="auto"/>
        <w:jc w:val="center"/>
        <w:rPr>
          <w:rFonts w:ascii="黑体" w:hAnsi="黑体" w:eastAsia="黑体"/>
          <w:b/>
          <w:bCs/>
          <w:color w:val="000000" w:themeColor="text1"/>
          <w:kern w:val="24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kern w:val="24"/>
          <w:sz w:val="48"/>
          <w:szCs w:val="48"/>
          <w14:textFill>
            <w14:solidFill>
              <w14:schemeClr w14:val="tx1"/>
            </w14:solidFill>
          </w14:textFill>
        </w:rPr>
        <w:t>国际学术会议</w:t>
      </w:r>
      <w:bookmarkEnd w:id="0"/>
      <w:bookmarkEnd w:id="1"/>
    </w:p>
    <w:p>
      <w:pPr>
        <w:spacing w:line="600" w:lineRule="auto"/>
        <w:jc w:val="center"/>
        <w:rPr>
          <w:rFonts w:hint="eastAsia" w:ascii="黑体" w:hAnsi="黑体" w:eastAsia="黑体"/>
          <w:b/>
          <w:bCs/>
          <w:color w:val="000000" w:themeColor="text1"/>
          <w:kern w:val="24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jc w:val="center"/>
        <w:rPr>
          <w:rFonts w:ascii="华文新魏" w:hAnsi="黑体" w:eastAsia="华文新魏"/>
          <w:b/>
          <w:bCs/>
          <w:color w:val="000000" w:themeColor="text1"/>
          <w:kern w:val="24"/>
          <w:sz w:val="90"/>
          <w:szCs w:val="90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hAnsi="黑体" w:eastAsia="华文新魏"/>
          <w:b/>
          <w:bCs/>
          <w:color w:val="000000" w:themeColor="text1"/>
          <w:kern w:val="24"/>
          <w:sz w:val="90"/>
          <w:szCs w:val="90"/>
          <w14:textFill>
            <w14:solidFill>
              <w14:schemeClr w14:val="tx1"/>
            </w14:solidFill>
          </w14:textFill>
        </w:rPr>
        <w:t>会议通知</w:t>
      </w:r>
    </w:p>
    <w:p>
      <w:pPr>
        <w:spacing w:line="720" w:lineRule="auto"/>
        <w:jc w:val="center"/>
        <w:rPr>
          <w:rFonts w:ascii="华文新魏" w:hAnsi="黑体" w:eastAsia="华文新魏"/>
          <w:b/>
          <w:bCs/>
          <w:color w:val="000000" w:themeColor="text1"/>
          <w:kern w:val="24"/>
          <w:sz w:val="80"/>
          <w:szCs w:val="8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/>
          <w:bCs/>
          <w:color w:val="000000" w:themeColor="text1"/>
          <w:kern w:val="24"/>
          <w:sz w:val="48"/>
          <w:szCs w:val="4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64770</wp:posOffset>
            </wp:positionV>
            <wp:extent cx="5281295" cy="3949700"/>
            <wp:effectExtent l="0" t="0" r="0" b="0"/>
            <wp:wrapNone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449" cy="3949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720" w:lineRule="auto"/>
        <w:jc w:val="center"/>
        <w:rPr>
          <w:rFonts w:ascii="华文新魏" w:hAnsi="黑体" w:eastAsia="华文新魏"/>
          <w:b/>
          <w:bCs/>
          <w:color w:val="000000" w:themeColor="text1"/>
          <w:kern w:val="24"/>
          <w:sz w:val="80"/>
          <w:szCs w:val="80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jc w:val="center"/>
        <w:rPr>
          <w:rFonts w:ascii="华文新魏" w:hAnsi="黑体" w:eastAsia="华文新魏"/>
          <w:b/>
          <w:bCs/>
          <w:color w:val="000000" w:themeColor="text1"/>
          <w:kern w:val="24"/>
          <w:sz w:val="80"/>
          <w:szCs w:val="80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jc w:val="center"/>
        <w:rPr>
          <w:rFonts w:ascii="华文新魏" w:hAnsi="黑体" w:eastAsia="华文新魏"/>
          <w:b/>
          <w:bCs/>
          <w:color w:val="000000" w:themeColor="text1"/>
          <w:kern w:val="24"/>
          <w:sz w:val="80"/>
          <w:szCs w:val="80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jc w:val="center"/>
        <w:rPr>
          <w:rFonts w:ascii="华文新魏" w:hAnsi="黑体" w:eastAsia="华文新魏"/>
          <w:b/>
          <w:bCs/>
          <w:color w:val="000000" w:themeColor="text1"/>
          <w:kern w:val="24"/>
          <w:sz w:val="80"/>
          <w:szCs w:val="80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jc w:val="center"/>
        <w:rPr>
          <w:rFonts w:hint="eastAsia" w:ascii="华文新魏" w:hAnsi="黑体" w:eastAsia="华文新魏"/>
          <w:b/>
          <w:bCs/>
          <w:color w:val="000000" w:themeColor="text1"/>
          <w:kern w:val="24"/>
          <w:sz w:val="80"/>
          <w:szCs w:val="8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华文新魏" w:hAnsi="黑体" w:eastAsia="华文新魏"/>
          <w:b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hAnsi="黑体" w:eastAsia="华文新魏"/>
          <w:b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  <w:t>2019年9月20-22日</w:t>
      </w:r>
    </w:p>
    <w:p>
      <w:pPr>
        <w:spacing w:line="360" w:lineRule="auto"/>
        <w:jc w:val="center"/>
        <w:rPr>
          <w:rFonts w:hint="eastAsia" w:ascii="华文新魏" w:hAnsi="黑体" w:eastAsia="华文新魏"/>
          <w:b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hAnsi="黑体" w:eastAsia="华文新魏"/>
          <w:b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  <w:t>中国·河南·焦作  河南理工大学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rFonts w:ascii="黑体" w:hAnsi="黑体" w:eastAsia="黑体"/>
          <w:sz w:val="36"/>
          <w:szCs w:val="36"/>
        </w:rPr>
      </w:pPr>
      <w:bookmarkStart w:id="2" w:name="_GoBack"/>
      <w:r>
        <w:rPr>
          <w:rFonts w:hint="eastAsia" w:ascii="黑体" w:hAnsi="黑体" w:eastAsia="黑体"/>
          <w:sz w:val="36"/>
          <w:szCs w:val="36"/>
        </w:rPr>
        <w:t>一</w:t>
      </w:r>
      <w:r>
        <w:drawing>
          <wp:anchor distT="0" distB="0" distL="114300" distR="114300" simplePos="0" relativeHeight="251675648" behindDoc="1" locked="1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-1356995</wp:posOffset>
            </wp:positionV>
            <wp:extent cx="7538085" cy="10662920"/>
            <wp:effectExtent l="0" t="0" r="5715" b="508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、会议组织单位</w:t>
      </w:r>
    </w:p>
    <w:p>
      <w:pPr>
        <w:spacing w:line="276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主办单位：河南理工大学</w:t>
      </w:r>
    </w:p>
    <w:p>
      <w:pPr>
        <w:spacing w:line="276" w:lineRule="auto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      AEIC学术交流中心</w:t>
      </w:r>
    </w:p>
    <w:p>
      <w:pPr>
        <w:spacing w:line="276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承办单位：河南理工大学</w:t>
      </w:r>
      <w:r>
        <w:rPr>
          <w:rFonts w:ascii="楷体" w:hAnsi="楷体" w:eastAsia="楷体"/>
          <w:sz w:val="32"/>
          <w:szCs w:val="32"/>
        </w:rPr>
        <w:t xml:space="preserve"> 能源科学与工程学院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      河南理工大学 交通运输工程技术研究中心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</w:p>
    <w:p>
      <w:pPr>
        <w:spacing w:line="276" w:lineRule="auto"/>
        <w:rPr>
          <w:rFonts w:hint="eastAsia"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二、会议时间、地点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2019年9月20日至22日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中国·河南·焦作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河南理工大学南校区，河南省焦作市高新区世纪大道</w:t>
      </w:r>
      <w:r>
        <w:rPr>
          <w:rFonts w:ascii="楷体" w:hAnsi="楷体" w:eastAsia="楷体"/>
          <w:sz w:val="32"/>
          <w:szCs w:val="32"/>
        </w:rPr>
        <w:t>2001号</w:t>
      </w:r>
    </w:p>
    <w:bookmarkEnd w:id="2"/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三、会议背景</w:t>
      </w:r>
    </w:p>
    <w:p>
      <w:pPr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交通运输是国民经济中基础性、先导性、战略性产业，是重要的服务性行业。构建现代综合交通运输体系，是适应把握引领经济发展新常态，推进供给侧结构性改革，推动国家重大战略实施，支撑全面建成小康社会的客观要求。</w:t>
      </w:r>
    </w:p>
    <w:p>
      <w:pPr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“十三五”时期，我国交通运输发展正处于支撑全面建成小康社会的攻坚期、优化网络布局的关键期、提质增效升级的转型期，将进入现代化建设新阶段。站在新的发展起点上，交通运输要准确把握经济发展新常态下的新</w:t>
      </w:r>
    </w:p>
    <w:p>
      <w:pPr>
        <w:spacing w:line="360" w:lineRule="auto"/>
        <w:ind w:firstLine="420" w:firstLineChars="200"/>
        <w:rPr>
          <w:rFonts w:hint="eastAsia" w:ascii="楷体" w:hAnsi="楷体" w:eastAsia="楷体"/>
          <w:sz w:val="32"/>
          <w:szCs w:val="32"/>
        </w:rPr>
      </w:pPr>
      <w:r>
        <w:drawing>
          <wp:anchor distT="0" distB="0" distL="114300" distR="114300" simplePos="0" relativeHeight="251679744" behindDoc="1" locked="1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-662940</wp:posOffset>
            </wp:positionV>
            <wp:extent cx="7538085" cy="10662920"/>
            <wp:effectExtent l="0" t="0" r="5715" b="508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形势、新要求，切实转变发展思路、方式和路径，优化结构、转换动能、补齐短板、提质增效，更好满足多元、舒适、便捷等客运需求和经济、可靠、高效等货运需求；要突出对“一带一路”建设、京津冀协同发展、长江经济带发展三大战略和新型城镇化、脱贫攻坚的支撑保障，着力消除瓶颈制约，提升运输服务的协同性和均等化水平；要更加注重提</w:t>
      </w:r>
      <w:r>
        <w:rPr>
          <w:rFonts w:hint="eastAsia" w:ascii="楷体" w:hAnsi="楷体" w:eastAsia="楷体"/>
          <w:sz w:val="32"/>
          <w:szCs w:val="32"/>
        </w:rPr>
        <w:t>高交通安全和应急保障能力，提升绿色、低碳、集约发展水平；要适应国际发展新环境，提高国际通道保障能力和互联互通水平，有效支撑全方位对外开放。</w:t>
      </w:r>
    </w:p>
    <w:p>
      <w:pPr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在此背景下，河南理工大学能源科学与工程学院承办“第三届交通工程与运输系统国际学术会议”。本次会议将邀请来自亚洲、欧洲和北美各高校的学者，旨在为从事交通工程与运输系统研究的专家学者、工程技术人员、技术研发人员提供一个共享科研成果和前沿技术，了解学术发展趋势，拓宽研究思路，加强学术研究和探讨，促进学术成果产业化合作的平台。大会诚邀国内外高校、科研机构专家、学者，企业界人士及其他相关人员参会交流，并期望通过这一交流平台，建立良好的学术交流与合作关系，推动中国交通工程与运输系统研究走向世界。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四、会议主题</w:t>
      </w:r>
    </w:p>
    <w:p>
      <w:pPr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本次会议的主题是</w:t>
      </w:r>
      <w:r>
        <w:rPr>
          <w:rFonts w:ascii="楷体" w:hAnsi="楷体" w:eastAsia="楷体"/>
          <w:color w:val="C00000"/>
          <w:sz w:val="32"/>
          <w:szCs w:val="32"/>
        </w:rPr>
        <w:t>“一带一路、交通运输的发展机遇与挑战”</w:t>
      </w:r>
      <w:r>
        <w:rPr>
          <w:rFonts w:ascii="楷体" w:hAnsi="楷体" w:eastAsia="楷体"/>
          <w:sz w:val="32"/>
          <w:szCs w:val="32"/>
        </w:rPr>
        <w:t>。交通运输是国民经济中基础性、先导性、战略性产业，构建“一带一路”现代综合交通运输体系，既是发挥交通运输引领功能的时代要求，也是服务“一带一路”建设的现实需要。我们期待大家相聚河南理工大学，通过思想与思想的碰撞，共同探寻人类和谐共处、自由交流的智慧。</w:t>
      </w:r>
    </w:p>
    <w:p>
      <w:pPr>
        <w:spacing w:line="360" w:lineRule="auto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drawing>
          <wp:anchor distT="0" distB="0" distL="114300" distR="114300" simplePos="0" relativeHeight="251677696" behindDoc="1" locked="1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-1467485</wp:posOffset>
            </wp:positionV>
            <wp:extent cx="7538085" cy="10662920"/>
            <wp:effectExtent l="0" t="0" r="5715" b="508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五、组织委员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大会主席：赵同谦</w:t>
      </w:r>
      <w:r>
        <w:rPr>
          <w:rFonts w:ascii="楷体" w:hAnsi="楷体" w:eastAsia="楷体"/>
          <w:sz w:val="32"/>
          <w:szCs w:val="32"/>
        </w:rPr>
        <w:t xml:space="preserve">  副校长、教授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组织委员会：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主席：郭文兵 院长、教授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成员：刘少伟 李东印 郜进海 郭保华 尤明庆 刘晓光                                              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      李香红 朱成明 王科峰 张爱霞 张亚伟 朱明礼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      宋晖颖 王玉刚 康继春 郭经纬 陈  岩 刘雅娴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      程露萍 李  萧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六、会议日程</w:t>
      </w:r>
    </w:p>
    <w:p>
      <w:pPr>
        <w:spacing w:line="360" w:lineRule="auto"/>
        <w:rPr>
          <w:rFonts w:hint="eastAsia" w:ascii="黑体" w:hAnsi="黑体" w:eastAsia="黑体"/>
          <w:sz w:val="36"/>
          <w:szCs w:val="36"/>
        </w:rPr>
      </w:pPr>
    </w:p>
    <w:tbl>
      <w:tblPr>
        <w:tblStyle w:val="4"/>
        <w:tblW w:w="93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9"/>
        <w:gridCol w:w="54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2019年9月20日</w:t>
            </w:r>
          </w:p>
        </w:tc>
        <w:tc>
          <w:tcPr>
            <w:tcW w:w="5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报到注册、领取会议资料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3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2019年9月21日</w:t>
            </w:r>
          </w:p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9:00-12:00</w:t>
            </w:r>
          </w:p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14:00-18:00</w:t>
            </w:r>
          </w:p>
        </w:tc>
        <w:tc>
          <w:tcPr>
            <w:tcW w:w="5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开幕式、大会报告</w:t>
            </w:r>
          </w:p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口头报告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3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2019年9月22日</w:t>
            </w:r>
          </w:p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9:00-12:00</w:t>
            </w:r>
          </w:p>
        </w:tc>
        <w:tc>
          <w:tcPr>
            <w:tcW w:w="5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学术考察</w:t>
            </w:r>
          </w:p>
        </w:tc>
      </w:tr>
    </w:tbl>
    <w:p>
      <w:pPr>
        <w:spacing w:line="360" w:lineRule="auto"/>
        <w:ind w:firstLine="560" w:firstLineChars="200"/>
        <w:rPr>
          <w:rFonts w:ascii="华文新魏" w:hAnsi="楷体" w:eastAsia="华文新魏"/>
          <w:sz w:val="28"/>
          <w:szCs w:val="28"/>
        </w:rPr>
      </w:pPr>
      <w:r>
        <w:rPr>
          <w:rFonts w:hint="eastAsia" w:ascii="华文新魏" w:hAnsi="楷体" w:eastAsia="华文新魏"/>
          <w:sz w:val="28"/>
          <w:szCs w:val="28"/>
        </w:rPr>
        <w:t>*注：最终会议日程及议程待定，可随时关注会议网站更新。</w:t>
      </w:r>
    </w:p>
    <w:p>
      <w:pPr>
        <w:spacing w:line="360" w:lineRule="auto"/>
        <w:rPr>
          <w:rFonts w:ascii="华文新魏" w:hAnsi="楷体" w:eastAsia="华文新魏"/>
          <w:sz w:val="22"/>
        </w:rPr>
      </w:pPr>
    </w:p>
    <w:p>
      <w:pPr>
        <w:spacing w:line="360" w:lineRule="auto"/>
        <w:rPr>
          <w:rFonts w:ascii="华文新魏" w:hAnsi="楷体" w:eastAsia="华文新魏"/>
          <w:sz w:val="22"/>
        </w:rPr>
      </w:pPr>
    </w:p>
    <w:p>
      <w:pPr>
        <w:spacing w:line="360" w:lineRule="auto"/>
        <w:rPr>
          <w:rFonts w:ascii="华文新魏" w:hAnsi="楷体" w:eastAsia="华文新魏"/>
          <w:sz w:val="22"/>
        </w:rPr>
      </w:pPr>
      <w:r>
        <w:drawing>
          <wp:anchor distT="0" distB="0" distL="114300" distR="114300" simplePos="0" relativeHeight="251683840" behindDoc="1" locked="1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-685165</wp:posOffset>
            </wp:positionV>
            <wp:extent cx="7538085" cy="10662920"/>
            <wp:effectExtent l="0" t="0" r="5715" b="508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1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-678815</wp:posOffset>
            </wp:positionV>
            <wp:extent cx="7538085" cy="10662920"/>
            <wp:effectExtent l="0" t="0" r="5715" b="508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华文新魏" w:hAnsi="楷体" w:eastAsia="华文新魏"/>
          <w:sz w:val="22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七、会议征文日期、主题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本次会议的主题是</w:t>
      </w:r>
      <w:r>
        <w:rPr>
          <w:rFonts w:hint="eastAsia" w:ascii="楷体" w:hAnsi="楷体" w:eastAsia="楷体"/>
          <w:color w:val="FF0000"/>
          <w:sz w:val="32"/>
          <w:szCs w:val="32"/>
        </w:rPr>
        <w:t>“一带一路、交通运输的发展机遇与挑战”</w:t>
      </w:r>
      <w:r>
        <w:rPr>
          <w:rFonts w:hint="eastAsia" w:ascii="楷体" w:hAnsi="楷体" w:eastAsia="楷体"/>
          <w:sz w:val="32"/>
          <w:szCs w:val="32"/>
        </w:rPr>
        <w:t>。征稿范围包括但不仅限于以下主题：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1. 交通工程（规划、管理、信息、控制、设计、安全、环境等）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2. 交通基础设施设计与施工（隧道、边坡、桥梁、路基路面、附属设施、岩土力学等）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3. 航空/海上/货物/都市/水路运输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4. 铁路与运输系统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5. 载运工具运用工程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6. 智能交通/绿色交通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7. 供应链管理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8. 物流工程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9. 其他相关主题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八、论文征集与发表</w:t>
      </w: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EI会议论文征集：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本会议投稿经过2-3位组委会专家严格审核之后，最终所录用的论文将被EI目录系列期刊 IOP Conference Series: Materials Science and Engineering (MSE)(ISSN: 1757-8981)出版，并提交至EI Compendex和CPCI检索。</w:t>
      </w:r>
    </w:p>
    <w:p>
      <w:pPr>
        <w:spacing w:line="360" w:lineRule="auto"/>
        <w:rPr>
          <w:rFonts w:ascii="楷体" w:hAnsi="楷体" w:eastAsia="楷体"/>
          <w:color w:val="C00000"/>
          <w:sz w:val="28"/>
          <w:szCs w:val="32"/>
        </w:rPr>
      </w:pPr>
      <w:r>
        <w:rPr>
          <w:rFonts w:ascii="楷体" w:hAnsi="楷体" w:eastAsia="楷体"/>
          <w:color w:val="C00000"/>
          <w:sz w:val="28"/>
          <w:szCs w:val="32"/>
        </w:rPr>
        <w:t>*注：往届已全部检索。</w:t>
      </w: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  <w:r>
        <w:drawing>
          <wp:anchor distT="0" distB="0" distL="114300" distR="114300" simplePos="0" relativeHeight="251685888" behindDoc="1" locked="1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-1073150</wp:posOffset>
            </wp:positionV>
            <wp:extent cx="7538085" cy="10662920"/>
            <wp:effectExtent l="0" t="0" r="5715" b="508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/>
          <w:b/>
          <w:sz w:val="32"/>
          <w:szCs w:val="32"/>
        </w:rPr>
        <w:t>SCI期刊论文征集：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   推荐10篇优秀论文到SCI期刊，录满截止！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期刊</w:t>
      </w:r>
      <w:r>
        <w:rPr>
          <w:rFonts w:ascii="楷体" w:hAnsi="楷体" w:eastAsia="楷体"/>
          <w:sz w:val="32"/>
          <w:szCs w:val="32"/>
        </w:rPr>
        <w:t>1(IF约1.5)：成像和成像系统相关主题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期刊</w:t>
      </w:r>
      <w:r>
        <w:rPr>
          <w:rFonts w:ascii="楷体" w:hAnsi="楷体" w:eastAsia="楷体"/>
          <w:sz w:val="32"/>
          <w:szCs w:val="32"/>
        </w:rPr>
        <w:t>2(IF约1.5)：与智能系统、模糊系统、工程和其他科技领域相关的基于网络系统的应用、案例研究以及教育主题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期刊</w:t>
      </w:r>
      <w:r>
        <w:rPr>
          <w:rFonts w:ascii="楷体" w:hAnsi="楷体" w:eastAsia="楷体"/>
          <w:sz w:val="32"/>
          <w:szCs w:val="32"/>
        </w:rPr>
        <w:t>3(IF约0.9)：结构力学、地震工程、桥梁和隧道工程、公路和运输工程方面的理论和实践研究</w:t>
      </w:r>
    </w:p>
    <w:p>
      <w:pPr>
        <w:spacing w:line="360" w:lineRule="auto"/>
        <w:rPr>
          <w:rFonts w:ascii="楷体" w:hAnsi="楷体" w:eastAsia="楷体"/>
          <w:color w:val="C00000"/>
          <w:sz w:val="28"/>
          <w:szCs w:val="32"/>
        </w:rPr>
      </w:pPr>
      <w:r>
        <w:rPr>
          <w:rFonts w:ascii="楷体" w:hAnsi="楷体" w:eastAsia="楷体"/>
          <w:color w:val="C00000"/>
          <w:sz w:val="28"/>
          <w:szCs w:val="32"/>
        </w:rPr>
        <w:t>*注：SCI期刊稿件仅可发送到service@keoaeic.org邮箱投稿，请标注“SCI稿件-ICTETS”。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九、投稿方式</w:t>
      </w:r>
    </w:p>
    <w:p>
      <w:pPr>
        <w:spacing w:line="360" w:lineRule="auto"/>
        <w:rPr>
          <w:rFonts w:hint="eastAsia" w:ascii="楷体" w:hAnsi="楷体" w:eastAsia="楷体"/>
          <w:b/>
          <w:color w:val="C00000"/>
          <w:sz w:val="32"/>
          <w:szCs w:val="32"/>
        </w:rPr>
      </w:pPr>
      <w:r>
        <w:rPr>
          <w:rFonts w:hint="eastAsia" w:ascii="楷体" w:hAnsi="楷体" w:eastAsia="楷体"/>
          <w:b/>
          <w:color w:val="C00000"/>
          <w:sz w:val="32"/>
          <w:szCs w:val="32"/>
        </w:rPr>
        <w:t>截止投稿：</w:t>
      </w:r>
      <w:r>
        <w:rPr>
          <w:rFonts w:ascii="楷体" w:hAnsi="楷体" w:eastAsia="楷体"/>
          <w:b/>
          <w:color w:val="C00000"/>
          <w:sz w:val="32"/>
          <w:szCs w:val="32"/>
        </w:rPr>
        <w:t>2019年8月30日</w:t>
      </w: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1.EI会议论文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网站下载模板、作者登记表后，经排版，发送初稿</w:t>
      </w:r>
      <w:r>
        <w:rPr>
          <w:rFonts w:ascii="楷体" w:hAnsi="楷体" w:eastAsia="楷体"/>
          <w:sz w:val="32"/>
          <w:szCs w:val="32"/>
        </w:rPr>
        <w:t>word版本、pdf版本、作者登记表至会议邮箱ICTETS@163.com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2.SCI期刊论文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据</w:t>
      </w:r>
      <w:r>
        <w:rPr>
          <w:rFonts w:ascii="楷体" w:hAnsi="楷体" w:eastAsia="楷体"/>
          <w:sz w:val="32"/>
          <w:szCs w:val="32"/>
        </w:rPr>
        <w:t>SCI模板排版后，满足10页或以上，可发送到service@keoaeic.org邮箱投稿，请标注“SCI稿件-ICTETS”。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drawing>
          <wp:anchor distT="0" distB="0" distL="114300" distR="114300" simplePos="0" relativeHeight="251687936" behindDoc="1" locked="1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-694690</wp:posOffset>
            </wp:positionV>
            <wp:extent cx="7538085" cy="10662920"/>
            <wp:effectExtent l="0" t="0" r="5715" b="508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十、联系方式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会议网址：</w:t>
      </w:r>
      <w:r>
        <w:fldChar w:fldCharType="begin"/>
      </w:r>
      <w:r>
        <w:instrText xml:space="preserve"> HYPERLINK "www.ictets.org" </w:instrText>
      </w:r>
      <w:r>
        <w:fldChar w:fldCharType="separate"/>
      </w:r>
      <w:r>
        <w:rPr>
          <w:rStyle w:val="6"/>
          <w:rFonts w:ascii="楷体" w:hAnsi="楷体" w:eastAsia="楷体"/>
          <w:sz w:val="32"/>
          <w:szCs w:val="32"/>
        </w:rPr>
        <w:t>www.ictets.org</w:t>
      </w:r>
      <w:r>
        <w:rPr>
          <w:rStyle w:val="6"/>
          <w:rFonts w:ascii="楷体" w:hAnsi="楷体" w:eastAsia="楷体"/>
          <w:sz w:val="32"/>
          <w:szCs w:val="32"/>
        </w:rPr>
        <w:fldChar w:fldCharType="end"/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会议邮箱：</w:t>
      </w:r>
      <w:r>
        <w:rPr>
          <w:rFonts w:ascii="楷体" w:hAnsi="楷体" w:eastAsia="楷体"/>
          <w:sz w:val="32"/>
          <w:szCs w:val="32"/>
        </w:rPr>
        <w:t>ICTETS@163.com</w:t>
      </w: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投稿</w:t>
      </w:r>
      <w:r>
        <w:rPr>
          <w:rFonts w:ascii="楷体" w:hAnsi="楷体" w:eastAsia="楷体"/>
          <w:b/>
          <w:sz w:val="32"/>
          <w:szCs w:val="32"/>
        </w:rPr>
        <w:t>/参会/会务：麦老师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咨询电话：</w:t>
      </w:r>
      <w:r>
        <w:rPr>
          <w:rFonts w:ascii="楷体" w:hAnsi="楷体" w:eastAsia="楷体"/>
          <w:sz w:val="32"/>
          <w:szCs w:val="32"/>
        </w:rPr>
        <w:t>+86-020-29071473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手机</w:t>
      </w:r>
      <w:r>
        <w:rPr>
          <w:rFonts w:ascii="楷体" w:hAnsi="楷体" w:eastAsia="楷体"/>
          <w:sz w:val="32"/>
          <w:szCs w:val="32"/>
        </w:rPr>
        <w:t>/微信：+86-13922151732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QQ咨询: 1465084071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4824095</wp:posOffset>
            </wp:positionV>
            <wp:extent cx="2601595" cy="1505585"/>
            <wp:effectExtent l="0" t="0" r="8890" b="0"/>
            <wp:wrapTopAndBottom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36" cy="151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32"/>
          <w:szCs w:val="32"/>
        </w:rPr>
        <w:t>地址：广州市越秀区中山一路</w:t>
      </w:r>
      <w:r>
        <w:rPr>
          <w:rFonts w:ascii="楷体" w:hAnsi="楷体" w:eastAsia="楷体"/>
          <w:sz w:val="32"/>
          <w:szCs w:val="32"/>
        </w:rPr>
        <w:t>57号南方铁道大厦27楼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协办</w:t>
      </w:r>
      <w:r>
        <w:rPr>
          <w:rFonts w:ascii="楷体" w:hAnsi="楷体" w:eastAsia="楷体"/>
          <w:b/>
          <w:sz w:val="32"/>
          <w:szCs w:val="32"/>
        </w:rPr>
        <w:t>/赞助/报告：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朱成明博士：</w:t>
      </w:r>
      <w:r>
        <w:rPr>
          <w:rFonts w:ascii="楷体" w:hAnsi="楷体" w:eastAsia="楷体"/>
          <w:sz w:val="32"/>
          <w:szCs w:val="32"/>
        </w:rPr>
        <w:t>86-134 0399 8092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康继春博士：</w:t>
      </w:r>
      <w:r>
        <w:rPr>
          <w:rFonts w:ascii="楷体" w:hAnsi="楷体" w:eastAsia="楷体"/>
          <w:sz w:val="32"/>
          <w:szCs w:val="32"/>
        </w:rPr>
        <w:t>86-135 2391 1671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郭保华博士：</w:t>
      </w:r>
      <w:r>
        <w:rPr>
          <w:rFonts w:ascii="楷体" w:hAnsi="楷体" w:eastAsia="楷体"/>
          <w:sz w:val="32"/>
          <w:szCs w:val="32"/>
        </w:rPr>
        <w:t>86-139 4966 9615, 邮箱：guobaohua@139.com</w:t>
      </w:r>
    </w:p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地址：河南省焦作市高新区世纪大道</w:t>
      </w:r>
      <w:r>
        <w:rPr>
          <w:rFonts w:ascii="楷体" w:hAnsi="楷体" w:eastAsia="楷体"/>
          <w:sz w:val="32"/>
          <w:szCs w:val="32"/>
        </w:rPr>
        <w:t>2001号，河南理工大学能源科学与工程学院</w:t>
      </w:r>
    </w:p>
    <w:p>
      <w:pPr>
        <w:spacing w:line="360" w:lineRule="auto"/>
      </w:pPr>
    </w:p>
    <w:p>
      <w:pPr>
        <w:widowControl/>
        <w:jc w:val="left"/>
      </w:pPr>
    </w:p>
    <w:p>
      <w:pPr>
        <w:tabs>
          <w:tab w:val="left" w:pos="4303"/>
        </w:tabs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1260"/>
      <w:jc w:val="both"/>
    </w:pPr>
    <w:sdt>
      <w:sdtPr>
        <w:rPr>
          <w:rFonts w:hint="eastAsia"/>
        </w:rPr>
        <w:alias w:val="作者"/>
        <w:id w:val="287096102"/>
        <w:placeholder>
          <w:docPart w:val="9059382235514DD8980DAE0B07F09424"/>
        </w:placeholder>
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Fonts w:hint="eastAsia"/>
        </w:rPr>
      </w:sdtEndPr>
      <w:sdtContent>
        <w:r>
          <w:rPr>
            <w:rFonts w:hint="eastAsia"/>
            <w:lang w:eastAsia="zh-CN"/>
          </w:rPr>
          <w:t>黄金矿工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8"/>
    <w:rsid w:val="003F3C15"/>
    <w:rsid w:val="00794654"/>
    <w:rsid w:val="007A7738"/>
    <w:rsid w:val="0090250B"/>
    <w:rsid w:val="00AC1E98"/>
    <w:rsid w:val="00E63F98"/>
    <w:rsid w:val="2EE33903"/>
    <w:rsid w:val="670C2821"/>
    <w:rsid w:val="7DE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059382235514DD8980DAE0B07F0942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03240F-FE1F-4898-944E-8249BE2F2407}"/>
      </w:docPartPr>
      <w:docPartBody>
        <w:p>
          <w:r>
            <w:rPr>
              <w:rStyle w:val="4"/>
            </w:rPr>
            <w:t>[作者]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5"/>
    <w:rsid w:val="00003372"/>
    <w:rsid w:val="0035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4BEC4-D1C6-46D7-A29D-85962B7408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382</Words>
  <Characters>2178</Characters>
  <Lines>18</Lines>
  <Paragraphs>5</Paragraphs>
  <TotalTime>9</TotalTime>
  <ScaleCrop>false</ScaleCrop>
  <LinksUpToDate>false</LinksUpToDate>
  <CharactersWithSpaces>2555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2019-06-04T09:40:00Z</dcterms:created>
  <dc:creator>黄金矿工</dc:creator>
  <cp:lastModifiedBy>黄金矿工</cp:lastModifiedBy>
  <dcterms:modified xsi:type="dcterms:W3CDTF">2019-06-04T11:42:47Z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